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CB4" w:rsidRDefault="00E82DCD">
      <w:pPr>
        <w:pStyle w:val="Style1"/>
        <w:widowControl/>
        <w:rPr>
          <w:rStyle w:val="FontStyle72"/>
        </w:rPr>
      </w:pPr>
      <w:r>
        <w:rPr>
          <w:rStyle w:val="FontStyle72"/>
        </w:rPr>
        <w:t xml:space="preserve">Федеральное государственное образовательное бюджетное учреждение </w:t>
      </w:r>
    </w:p>
    <w:p w:rsidR="00261CB4" w:rsidRDefault="00E82DCD">
      <w:pPr>
        <w:pStyle w:val="Style1"/>
        <w:widowControl/>
        <w:rPr>
          <w:rStyle w:val="FontStyle72"/>
        </w:rPr>
      </w:pPr>
      <w:r>
        <w:rPr>
          <w:rStyle w:val="FontStyle72"/>
        </w:rPr>
        <w:t>высшего образования</w:t>
      </w:r>
    </w:p>
    <w:p w:rsidR="00261CB4" w:rsidRDefault="00E82DCD">
      <w:pPr>
        <w:pStyle w:val="Style1"/>
        <w:widowControl/>
        <w:spacing w:before="67"/>
        <w:ind w:left="686"/>
        <w:rPr>
          <w:rStyle w:val="FontStyle72"/>
          <w:sz w:val="28"/>
          <w:szCs w:val="28"/>
        </w:rPr>
      </w:pPr>
      <w:r>
        <w:rPr>
          <w:rStyle w:val="FontStyle72"/>
          <w:sz w:val="28"/>
          <w:szCs w:val="28"/>
        </w:rPr>
        <w:t xml:space="preserve"> «ФИНАНСОВЫЙ УНИВЕРСИТЕТ ПРИ ПРАВИТЕЛЬСТВЕ РОССИЙСКОЙ ФЕДЕРАЦИИ» </w:t>
      </w:r>
    </w:p>
    <w:p w:rsidR="00261CB4" w:rsidRDefault="00E82DCD">
      <w:pPr>
        <w:pStyle w:val="Style1"/>
        <w:widowControl/>
        <w:spacing w:before="67"/>
        <w:ind w:left="686"/>
        <w:rPr>
          <w:rStyle w:val="FontStyle72"/>
          <w:b w:val="0"/>
          <w:sz w:val="28"/>
          <w:szCs w:val="28"/>
        </w:rPr>
      </w:pPr>
      <w:r>
        <w:rPr>
          <w:rStyle w:val="FontStyle72"/>
          <w:b w:val="0"/>
          <w:sz w:val="28"/>
          <w:szCs w:val="28"/>
        </w:rPr>
        <w:t>(Финансовый университет)</w:t>
      </w:r>
    </w:p>
    <w:p w:rsidR="00261CB4" w:rsidRDefault="00E82DCD">
      <w:pPr>
        <w:pStyle w:val="Style8"/>
        <w:widowControl/>
        <w:spacing w:before="101"/>
        <w:jc w:val="center"/>
      </w:pPr>
      <w:r>
        <w:rPr>
          <w:rStyle w:val="FontStyle72"/>
          <w:sz w:val="28"/>
          <w:szCs w:val="28"/>
        </w:rPr>
        <w:t>Департамент банковского дела и монетарного регулирования</w:t>
      </w:r>
    </w:p>
    <w:p w:rsidR="00261CB4" w:rsidRDefault="00E82DCD">
      <w:pPr>
        <w:pStyle w:val="Style8"/>
        <w:widowControl/>
        <w:spacing w:before="101"/>
        <w:jc w:val="center"/>
      </w:pPr>
      <w:r>
        <w:rPr>
          <w:rStyle w:val="FontStyle72"/>
          <w:sz w:val="28"/>
          <w:szCs w:val="28"/>
        </w:rPr>
        <w:t>Финансового факультета</w:t>
      </w:r>
    </w:p>
    <w:p w:rsidR="00261CB4" w:rsidRDefault="00261CB4">
      <w:pPr>
        <w:jc w:val="right"/>
        <w:rPr>
          <w:rFonts w:eastAsia="Times New Roman"/>
          <w:sz w:val="28"/>
          <w:szCs w:val="28"/>
        </w:rPr>
      </w:pPr>
    </w:p>
    <w:tbl>
      <w:tblPr>
        <w:tblW w:w="903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4836"/>
        <w:gridCol w:w="4194"/>
      </w:tblGrid>
      <w:tr w:rsidR="00261CB4">
        <w:trPr>
          <w:trHeight w:val="3189"/>
        </w:trPr>
        <w:tc>
          <w:tcPr>
            <w:tcW w:w="4835" w:type="dxa"/>
          </w:tcPr>
          <w:p w:rsidR="00261CB4" w:rsidRDefault="00E82DCD">
            <w:pPr>
              <w:rPr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 xml:space="preserve">       </w:t>
            </w:r>
            <w:r>
              <w:rPr>
                <w:sz w:val="28"/>
                <w:szCs w:val="28"/>
              </w:rPr>
              <w:t>СОГЛАСОВАНО</w:t>
            </w:r>
          </w:p>
          <w:p w:rsidR="00261CB4" w:rsidRDefault="00261CB4">
            <w:pPr>
              <w:rPr>
                <w:sz w:val="28"/>
                <w:szCs w:val="28"/>
              </w:rPr>
            </w:pPr>
          </w:p>
          <w:p w:rsidR="00261CB4" w:rsidRDefault="00E82DCD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«НКР» (ООО)</w:t>
            </w:r>
          </w:p>
          <w:p w:rsidR="00261CB4" w:rsidRDefault="00E82DCD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Генеральный директор рейтингового агентства «Национальные кредитные</w:t>
            </w:r>
          </w:p>
          <w:p w:rsidR="00261CB4" w:rsidRDefault="00E82DCD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рейтинги»</w:t>
            </w:r>
          </w:p>
          <w:p w:rsidR="00261CB4" w:rsidRDefault="00E82DC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____________________ К.А. </w:t>
            </w:r>
            <w:proofErr w:type="spellStart"/>
            <w:r>
              <w:rPr>
                <w:sz w:val="28"/>
                <w:szCs w:val="28"/>
              </w:rPr>
              <w:t>Лукашук</w:t>
            </w:r>
            <w:proofErr w:type="spellEnd"/>
          </w:p>
          <w:p w:rsidR="00261CB4" w:rsidRDefault="00261CB4">
            <w:pPr>
              <w:rPr>
                <w:sz w:val="28"/>
                <w:szCs w:val="28"/>
              </w:rPr>
            </w:pPr>
          </w:p>
          <w:p w:rsidR="00261CB4" w:rsidRDefault="00E82DCD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147B6F">
              <w:rPr>
                <w:sz w:val="28"/>
                <w:szCs w:val="28"/>
              </w:rPr>
              <w:t>28</w:t>
            </w:r>
            <w:r>
              <w:rPr>
                <w:sz w:val="28"/>
                <w:szCs w:val="28"/>
              </w:rPr>
              <w:t xml:space="preserve">» </w:t>
            </w:r>
            <w:r w:rsidR="00147B6F">
              <w:rPr>
                <w:sz w:val="28"/>
                <w:szCs w:val="28"/>
              </w:rPr>
              <w:t>ноября</w:t>
            </w:r>
            <w:r>
              <w:rPr>
                <w:sz w:val="28"/>
                <w:szCs w:val="28"/>
              </w:rPr>
              <w:t xml:space="preserve"> 2022   г.</w:t>
            </w:r>
          </w:p>
        </w:tc>
        <w:tc>
          <w:tcPr>
            <w:tcW w:w="4194" w:type="dxa"/>
          </w:tcPr>
          <w:p w:rsidR="00261CB4" w:rsidRDefault="00E82DCD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  <w:r>
              <w:rPr>
                <w:rFonts w:eastAsia="Times New Roman"/>
                <w:caps/>
                <w:sz w:val="28"/>
                <w:szCs w:val="28"/>
              </w:rPr>
              <w:t>утверждаю</w:t>
            </w:r>
          </w:p>
          <w:p w:rsidR="00261CB4" w:rsidRDefault="00261CB4">
            <w:pPr>
              <w:spacing w:line="276" w:lineRule="auto"/>
              <w:jc w:val="both"/>
              <w:rPr>
                <w:rFonts w:eastAsia="Times New Roman"/>
                <w:caps/>
                <w:sz w:val="28"/>
                <w:szCs w:val="28"/>
              </w:rPr>
            </w:pPr>
          </w:p>
          <w:p w:rsidR="00261CB4" w:rsidRDefault="00E82DCD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Проректор по учебной и методической работе</w:t>
            </w:r>
          </w:p>
          <w:p w:rsidR="00261CB4" w:rsidRDefault="00261CB4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261CB4" w:rsidRDefault="00E82DCD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____________ Е.А. Каменева</w:t>
            </w:r>
          </w:p>
          <w:p w:rsidR="00261CB4" w:rsidRDefault="00261CB4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261CB4" w:rsidRDefault="00E82DCD">
            <w:pPr>
              <w:spacing w:line="276" w:lineRule="auto"/>
              <w:jc w:val="both"/>
              <w:rPr>
                <w:rFonts w:eastAsia="Times New Roman"/>
                <w:b/>
                <w:caps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«</w:t>
            </w:r>
            <w:r w:rsidR="00147B6F">
              <w:rPr>
                <w:rFonts w:eastAsia="Times New Roman"/>
                <w:sz w:val="28"/>
                <w:szCs w:val="28"/>
              </w:rPr>
              <w:t>02</w:t>
            </w:r>
            <w:r>
              <w:rPr>
                <w:rFonts w:eastAsia="Times New Roman"/>
                <w:sz w:val="28"/>
                <w:szCs w:val="28"/>
              </w:rPr>
              <w:t>»</w:t>
            </w:r>
            <w:r w:rsidR="00147B6F">
              <w:rPr>
                <w:rFonts w:eastAsia="Times New Roman"/>
                <w:sz w:val="28"/>
                <w:szCs w:val="28"/>
              </w:rPr>
              <w:t xml:space="preserve"> декабря</w:t>
            </w:r>
            <w:r>
              <w:rPr>
                <w:rFonts w:eastAsia="Times New Roman"/>
                <w:sz w:val="28"/>
                <w:szCs w:val="28"/>
              </w:rPr>
              <w:t xml:space="preserve"> 2022 г.</w:t>
            </w:r>
          </w:p>
        </w:tc>
      </w:tr>
    </w:tbl>
    <w:p w:rsidR="00261CB4" w:rsidRDefault="00261CB4">
      <w:pPr>
        <w:jc w:val="center"/>
        <w:rPr>
          <w:rFonts w:eastAsia="Times New Roman"/>
          <w:sz w:val="36"/>
          <w:szCs w:val="36"/>
        </w:rPr>
      </w:pPr>
    </w:p>
    <w:p w:rsidR="00261CB4" w:rsidRDefault="00E82DCD">
      <w:pPr>
        <w:jc w:val="center"/>
        <w:rPr>
          <w:rFonts w:eastAsia="Times New Roman"/>
          <w:sz w:val="36"/>
          <w:szCs w:val="36"/>
        </w:rPr>
      </w:pPr>
      <w:r>
        <w:rPr>
          <w:rFonts w:eastAsia="Times New Roman"/>
          <w:sz w:val="36"/>
          <w:szCs w:val="36"/>
        </w:rPr>
        <w:t xml:space="preserve">Ларионова И.В., </w:t>
      </w:r>
      <w:proofErr w:type="spellStart"/>
      <w:r>
        <w:rPr>
          <w:rFonts w:eastAsia="Times New Roman"/>
          <w:sz w:val="36"/>
          <w:szCs w:val="36"/>
        </w:rPr>
        <w:t>Чичуленков</w:t>
      </w:r>
      <w:proofErr w:type="spellEnd"/>
      <w:r>
        <w:rPr>
          <w:rFonts w:eastAsia="Times New Roman"/>
          <w:sz w:val="36"/>
          <w:szCs w:val="36"/>
        </w:rPr>
        <w:t xml:space="preserve"> Д.А.</w:t>
      </w:r>
    </w:p>
    <w:p w:rsidR="00261CB4" w:rsidRDefault="00261CB4">
      <w:pPr>
        <w:tabs>
          <w:tab w:val="left" w:pos="780"/>
          <w:tab w:val="center" w:pos="4535"/>
        </w:tabs>
        <w:jc w:val="center"/>
        <w:rPr>
          <w:rFonts w:eastAsia="Times New Roman"/>
          <w:sz w:val="36"/>
          <w:szCs w:val="36"/>
        </w:rPr>
      </w:pPr>
    </w:p>
    <w:p w:rsidR="00261CB4" w:rsidRDefault="002171FD">
      <w:pPr>
        <w:jc w:val="center"/>
        <w:rPr>
          <w:rFonts w:eastAsia="Times New Roman"/>
          <w:sz w:val="20"/>
          <w:szCs w:val="20"/>
        </w:rPr>
      </w:pPr>
      <w:r w:rsidRPr="002171FD">
        <w:rPr>
          <w:rFonts w:eastAsia="Times New Roman"/>
          <w:sz w:val="36"/>
          <w:szCs w:val="36"/>
        </w:rPr>
        <w:t>Анализ и оценка финансового состояния и перспектив деятельности коммерческого банка</w:t>
      </w:r>
    </w:p>
    <w:p w:rsidR="00261CB4" w:rsidRDefault="00261CB4">
      <w:pPr>
        <w:jc w:val="center"/>
        <w:rPr>
          <w:rFonts w:eastAsia="Times New Roman"/>
          <w:sz w:val="20"/>
          <w:szCs w:val="20"/>
        </w:rPr>
      </w:pPr>
    </w:p>
    <w:p w:rsidR="00261CB4" w:rsidRDefault="00E82DCD">
      <w:pPr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Рабочая программа дисциплины</w:t>
      </w:r>
    </w:p>
    <w:p w:rsidR="00261CB4" w:rsidRDefault="00261CB4">
      <w:pPr>
        <w:jc w:val="center"/>
        <w:rPr>
          <w:rFonts w:eastAsia="Times New Roman"/>
          <w:b/>
          <w:sz w:val="28"/>
          <w:szCs w:val="28"/>
        </w:rPr>
      </w:pPr>
    </w:p>
    <w:p w:rsidR="00261CB4" w:rsidRDefault="00E82DCD">
      <w:pPr>
        <w:spacing w:line="276" w:lineRule="auto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для студентов, обучающихся по направлению подготовки</w:t>
      </w:r>
    </w:p>
    <w:p w:rsidR="00261CB4" w:rsidRDefault="00810EB1">
      <w:pPr>
        <w:spacing w:line="276" w:lineRule="auto"/>
        <w:jc w:val="center"/>
        <w:rPr>
          <w:rFonts w:eastAsia="Times New Roman"/>
        </w:rPr>
      </w:pPr>
      <w:r>
        <w:rPr>
          <w:rFonts w:eastAsia="Times New Roman"/>
          <w:sz w:val="28"/>
          <w:szCs w:val="28"/>
        </w:rPr>
        <w:t xml:space="preserve">38.04.08 </w:t>
      </w:r>
      <w:r w:rsidR="00E82DCD">
        <w:rPr>
          <w:rFonts w:eastAsia="Times New Roman"/>
          <w:sz w:val="28"/>
          <w:szCs w:val="28"/>
        </w:rPr>
        <w:t>Финансы и кредит</w:t>
      </w:r>
    </w:p>
    <w:p w:rsidR="00261CB4" w:rsidRDefault="00261CB4">
      <w:pPr>
        <w:spacing w:line="276" w:lineRule="auto"/>
        <w:jc w:val="center"/>
        <w:rPr>
          <w:rFonts w:eastAsia="Times New Roman"/>
          <w:i/>
        </w:rPr>
      </w:pPr>
    </w:p>
    <w:p w:rsidR="00261CB4" w:rsidRDefault="00E82DCD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>Рекомендовано Ученым советом финансового факультета</w:t>
      </w:r>
    </w:p>
    <w:p w:rsidR="00261CB4" w:rsidRDefault="00E82DCD">
      <w:pPr>
        <w:spacing w:line="276" w:lineRule="auto"/>
        <w:jc w:val="center"/>
        <w:rPr>
          <w:rFonts w:eastAsia="Times New Roman"/>
          <w:iCs/>
        </w:rPr>
      </w:pPr>
      <w:r>
        <w:rPr>
          <w:rFonts w:eastAsia="Times New Roman"/>
          <w:iCs/>
        </w:rPr>
        <w:t>(</w:t>
      </w:r>
      <w:proofErr w:type="gramStart"/>
      <w:r>
        <w:rPr>
          <w:rFonts w:eastAsia="Times New Roman"/>
          <w:i/>
        </w:rPr>
        <w:t>протокол  №</w:t>
      </w:r>
      <w:proofErr w:type="gramEnd"/>
      <w:r>
        <w:rPr>
          <w:rFonts w:eastAsia="Times New Roman"/>
          <w:i/>
        </w:rPr>
        <w:t xml:space="preserve"> 28 от  24 ноября 2022 г.</w:t>
      </w:r>
      <w:r>
        <w:rPr>
          <w:rFonts w:eastAsia="Times New Roman"/>
          <w:iCs/>
        </w:rPr>
        <w:t>)</w:t>
      </w:r>
    </w:p>
    <w:p w:rsidR="00261CB4" w:rsidRDefault="00E82DCD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>Одобрено учебно-научным Департаментом банковского дела и монетарного регулирования</w:t>
      </w:r>
    </w:p>
    <w:p w:rsidR="00261CB4" w:rsidRDefault="00E82DCD">
      <w:pPr>
        <w:spacing w:line="276" w:lineRule="auto"/>
        <w:jc w:val="center"/>
        <w:rPr>
          <w:rFonts w:eastAsia="Times New Roman"/>
          <w:i/>
        </w:rPr>
      </w:pPr>
      <w:r>
        <w:rPr>
          <w:rFonts w:eastAsia="Times New Roman"/>
          <w:i/>
        </w:rPr>
        <w:t xml:space="preserve"> (</w:t>
      </w:r>
      <w:proofErr w:type="gramStart"/>
      <w:r>
        <w:rPr>
          <w:rFonts w:eastAsia="Times New Roman"/>
          <w:i/>
        </w:rPr>
        <w:t>протокол  №</w:t>
      </w:r>
      <w:proofErr w:type="gramEnd"/>
      <w:r>
        <w:rPr>
          <w:rFonts w:eastAsia="Times New Roman"/>
          <w:i/>
        </w:rPr>
        <w:t xml:space="preserve"> 4 от 05 октября 2022 г.)</w:t>
      </w:r>
    </w:p>
    <w:p w:rsidR="00261CB4" w:rsidRDefault="00261CB4">
      <w:pPr>
        <w:jc w:val="center"/>
        <w:rPr>
          <w:rFonts w:eastAsia="Times New Roman"/>
          <w:sz w:val="28"/>
          <w:szCs w:val="28"/>
        </w:rPr>
      </w:pPr>
    </w:p>
    <w:p w:rsidR="00261CB4" w:rsidRDefault="00261CB4">
      <w:pPr>
        <w:jc w:val="center"/>
        <w:rPr>
          <w:rFonts w:eastAsia="Times New Roman"/>
          <w:sz w:val="28"/>
          <w:szCs w:val="28"/>
        </w:rPr>
      </w:pPr>
    </w:p>
    <w:p w:rsidR="00261CB4" w:rsidRDefault="00261CB4">
      <w:pPr>
        <w:jc w:val="center"/>
        <w:rPr>
          <w:rFonts w:eastAsia="Times New Roman"/>
          <w:sz w:val="28"/>
          <w:szCs w:val="28"/>
        </w:rPr>
      </w:pPr>
    </w:p>
    <w:p w:rsidR="00261CB4" w:rsidRDefault="00261CB4">
      <w:pPr>
        <w:jc w:val="center"/>
        <w:rPr>
          <w:rFonts w:eastAsia="Times New Roman"/>
          <w:sz w:val="28"/>
          <w:szCs w:val="28"/>
        </w:rPr>
      </w:pPr>
    </w:p>
    <w:p w:rsidR="00261CB4" w:rsidRDefault="00E82DCD">
      <w:pPr>
        <w:jc w:val="center"/>
        <w:rPr>
          <w:b/>
          <w:bCs/>
        </w:rPr>
        <w:sectPr w:rsidR="00261CB4">
          <w:pgSz w:w="11906" w:h="16838"/>
          <w:pgMar w:top="1134" w:right="851" w:bottom="1134" w:left="1701" w:header="0" w:footer="0" w:gutter="0"/>
          <w:cols w:space="720"/>
          <w:formProt w:val="0"/>
          <w:docGrid w:linePitch="360"/>
        </w:sectPr>
      </w:pPr>
      <w:r>
        <w:rPr>
          <w:rFonts w:eastAsia="Times New Roman"/>
          <w:b/>
          <w:bCs/>
          <w:sz w:val="28"/>
          <w:szCs w:val="28"/>
        </w:rPr>
        <w:t>Москва – 2022 год</w:t>
      </w:r>
    </w:p>
    <w:sdt>
      <w:sdtPr>
        <w:rPr>
          <w:rFonts w:ascii="Times New Roman" w:eastAsiaTheme="minorEastAsia" w:hAnsi="Times New Roman" w:cs="Times New Roman"/>
          <w:color w:val="auto"/>
          <w:sz w:val="24"/>
          <w:szCs w:val="24"/>
        </w:rPr>
        <w:id w:val="1755279307"/>
        <w:docPartObj>
          <w:docPartGallery w:val="Table of Contents"/>
          <w:docPartUnique/>
        </w:docPartObj>
      </w:sdtPr>
      <w:sdtEndPr/>
      <w:sdtContent>
        <w:p w:rsidR="00261CB4" w:rsidRDefault="00E82DCD">
          <w:pPr>
            <w:pStyle w:val="afc"/>
            <w:jc w:val="center"/>
            <w:rPr>
              <w:rFonts w:ascii="Times New Roman" w:hAnsi="Times New Roman" w:cs="Times New Roman"/>
              <w:b/>
              <w:color w:val="auto"/>
            </w:rPr>
          </w:pPr>
          <w:r w:rsidRPr="00E82DCD">
            <w:rPr>
              <w:rFonts w:ascii="Times New Roman" w:hAnsi="Times New Roman" w:cs="Times New Roman"/>
              <w:b/>
              <w:color w:val="auto"/>
            </w:rPr>
            <w:t>СОДЕРЖАНИЕ</w:t>
          </w:r>
        </w:p>
        <w:p w:rsidR="00E82DCD" w:rsidRPr="00E82DCD" w:rsidRDefault="00E82DCD" w:rsidP="00E82DCD"/>
        <w:p w:rsidR="00E82DCD" w:rsidRPr="00E82DCD" w:rsidRDefault="00E82DCD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r w:rsidRPr="00E82DCD">
            <w:rPr>
              <w:bCs w:val="0"/>
              <w:color w:val="000000" w:themeColor="text1"/>
              <w:sz w:val="27"/>
              <w:szCs w:val="27"/>
            </w:rPr>
            <w:fldChar w:fldCharType="begin"/>
          </w:r>
          <w:r w:rsidRPr="00E82DCD">
            <w:rPr>
              <w:color w:val="000000" w:themeColor="text1"/>
              <w:sz w:val="27"/>
              <w:szCs w:val="27"/>
            </w:rPr>
            <w:instrText xml:space="preserve"> TOC \o "1-3" \h \z \u </w:instrText>
          </w:r>
          <w:r w:rsidRPr="00E82DCD">
            <w:rPr>
              <w:bCs w:val="0"/>
              <w:color w:val="000000" w:themeColor="text1"/>
              <w:sz w:val="27"/>
              <w:szCs w:val="27"/>
            </w:rPr>
            <w:fldChar w:fldCharType="separate"/>
          </w:r>
          <w:hyperlink w:anchor="_Toc22036674" w:history="1">
            <w:r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1. Наименование дисциплины</w:t>
            </w:r>
            <w:r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3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75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3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76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3. Место дисциплины в структуре образовательной программы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77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78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7</w:t>
            </w:r>
          </w:hyperlink>
        </w:p>
        <w:p w:rsidR="00E82DCD" w:rsidRPr="00E82DCD" w:rsidRDefault="00182D3F" w:rsidP="00E82DCD">
          <w:pPr>
            <w:pStyle w:val="23"/>
            <w:tabs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79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5.1. Содержание дисциплины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7</w:t>
            </w:r>
          </w:hyperlink>
        </w:p>
        <w:p w:rsidR="00E82DCD" w:rsidRPr="00E82DCD" w:rsidRDefault="00182D3F" w:rsidP="00E82DCD">
          <w:pPr>
            <w:pStyle w:val="23"/>
            <w:tabs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0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5.2. Учебно-тематический план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_Toc22036680 \h </w:instrTex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>9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:rsidR="00E82DCD" w:rsidRPr="00E82DCD" w:rsidRDefault="00182D3F" w:rsidP="00E82DCD">
          <w:pPr>
            <w:pStyle w:val="23"/>
            <w:tabs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1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5.3. Содержание семинаров, практических занятий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12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2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18</w:t>
            </w:r>
          </w:hyperlink>
        </w:p>
        <w:p w:rsidR="00E82DCD" w:rsidRPr="00E82DCD" w:rsidRDefault="00182D3F" w:rsidP="00E82DCD">
          <w:pPr>
            <w:pStyle w:val="23"/>
            <w:tabs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3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18</w:t>
            </w:r>
          </w:hyperlink>
        </w:p>
        <w:p w:rsidR="00E82DCD" w:rsidRPr="00E82DCD" w:rsidRDefault="00182D3F" w:rsidP="00E82DCD">
          <w:pPr>
            <w:pStyle w:val="23"/>
            <w:tabs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4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6.2. Перечень вопросов, заданий, тем для подготовки к текущему контролю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22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5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7. Фонд оценочных средств для проведения промежуточной аттестации обучающихся по дисциплине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_Toc22036685 \h </w:instrTex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>2</w:t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5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6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8. Перечень основной и дополнительной учебной литературы, необходимой для освоения дисциплины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25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7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61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8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10. Методические указания для обучающихся по освоению дисциплины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64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8"/>
              <w:szCs w:val="28"/>
            </w:rPr>
          </w:pPr>
          <w:hyperlink w:anchor="_Toc22036689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64</w:t>
            </w:r>
          </w:hyperlink>
        </w:p>
        <w:p w:rsidR="00E82DCD" w:rsidRPr="00E82DCD" w:rsidRDefault="00182D3F" w:rsidP="00E82DCD">
          <w:pPr>
            <w:pStyle w:val="13"/>
            <w:tabs>
              <w:tab w:val="clear" w:pos="9345"/>
              <w:tab w:val="right" w:leader="dot" w:pos="9344"/>
            </w:tabs>
            <w:rPr>
              <w:rFonts w:asciiTheme="minorHAnsi" w:hAnsiTheme="minorHAnsi" w:cstheme="minorBidi"/>
              <w:noProof/>
              <w:color w:val="000000" w:themeColor="text1"/>
              <w:sz w:val="22"/>
              <w:szCs w:val="22"/>
            </w:rPr>
          </w:pPr>
          <w:hyperlink w:anchor="_Toc22036692" w:history="1">
            <w:r w:rsidR="00E82DCD" w:rsidRPr="00E82DCD">
              <w:rPr>
                <w:rStyle w:val="aff3"/>
                <w:noProof/>
                <w:color w:val="000000" w:themeColor="text1"/>
                <w:sz w:val="28"/>
                <w:szCs w:val="28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  <w:r w:rsidR="00E82DCD" w:rsidRPr="00E82DCD">
              <w:rPr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="00432E39">
              <w:rPr>
                <w:noProof/>
                <w:webHidden/>
                <w:color w:val="000000" w:themeColor="text1"/>
                <w:sz w:val="28"/>
                <w:szCs w:val="28"/>
              </w:rPr>
              <w:t>67</w:t>
            </w:r>
          </w:hyperlink>
        </w:p>
        <w:p w:rsidR="00261CB4" w:rsidRPr="00E82DCD" w:rsidRDefault="00E82DCD" w:rsidP="00E82DCD">
          <w:pPr>
            <w:rPr>
              <w:color w:val="000000" w:themeColor="text1"/>
              <w:sz w:val="26"/>
              <w:szCs w:val="26"/>
            </w:rPr>
          </w:pPr>
          <w:r w:rsidRPr="00E82DCD">
            <w:rPr>
              <w:bCs/>
              <w:color w:val="000000" w:themeColor="text1"/>
              <w:sz w:val="27"/>
              <w:szCs w:val="27"/>
            </w:rPr>
            <w:fldChar w:fldCharType="end"/>
          </w:r>
        </w:p>
        <w:p w:rsidR="00261CB4" w:rsidRDefault="00182D3F">
          <w:pPr>
            <w:jc w:val="center"/>
            <w:rPr>
              <w:sz w:val="26"/>
              <w:szCs w:val="26"/>
            </w:rPr>
          </w:pPr>
        </w:p>
      </w:sdtContent>
    </w:sdt>
    <w:p w:rsidR="00E82DCD" w:rsidRDefault="00E82DCD" w:rsidP="00E82DCD">
      <w:pPr>
        <w:pStyle w:val="1"/>
        <w:tabs>
          <w:tab w:val="left" w:pos="2235"/>
        </w:tabs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ab/>
      </w:r>
      <w:bookmarkStart w:id="0" w:name="_Toc115871068"/>
    </w:p>
    <w:p w:rsidR="00261CB4" w:rsidRDefault="00E82DCD" w:rsidP="00E82DCD">
      <w:pPr>
        <w:pStyle w:val="1"/>
        <w:tabs>
          <w:tab w:val="left" w:pos="2235"/>
        </w:tabs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>1. Наименование дисциплины</w:t>
      </w:r>
      <w:bookmarkEnd w:id="0"/>
    </w:p>
    <w:p w:rsidR="00261CB4" w:rsidRDefault="00E82DCD">
      <w:pPr>
        <w:keepNext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</w:t>
      </w:r>
      <w:r w:rsidR="002171FD" w:rsidRPr="002171FD">
        <w:rPr>
          <w:sz w:val="28"/>
          <w:szCs w:val="28"/>
        </w:rPr>
        <w:t>Анализ и оценка финансового состояния и перспектив деятельности коммерческого банка</w:t>
      </w:r>
      <w:r>
        <w:rPr>
          <w:sz w:val="28"/>
          <w:szCs w:val="28"/>
        </w:rPr>
        <w:t>»</w:t>
      </w:r>
    </w:p>
    <w:p w:rsidR="00261CB4" w:rsidRDefault="00261CB4">
      <w:pPr>
        <w:keepNext/>
        <w:spacing w:line="360" w:lineRule="auto"/>
        <w:ind w:firstLine="709"/>
        <w:jc w:val="both"/>
        <w:rPr>
          <w:bCs/>
          <w:sz w:val="28"/>
          <w:szCs w:val="28"/>
        </w:rPr>
      </w:pPr>
    </w:p>
    <w:p w:rsidR="00261CB4" w:rsidRDefault="00E82DCD" w:rsidP="00E82DCD">
      <w:pPr>
        <w:pStyle w:val="1"/>
        <w:spacing w:before="0" w:after="120"/>
        <w:ind w:firstLine="709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115871069"/>
      <w:r>
        <w:rPr>
          <w:rFonts w:ascii="Times New Roman" w:hAnsi="Times New Roman" w:cs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bookmarkEnd w:id="1"/>
    </w:p>
    <w:p w:rsidR="00261CB4" w:rsidRDefault="00E82DCD">
      <w:pPr>
        <w:tabs>
          <w:tab w:val="left" w:pos="540"/>
        </w:tabs>
        <w:contextualSpacing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</w:t>
      </w:r>
      <w:r>
        <w:rPr>
          <w:sz w:val="28"/>
          <w:szCs w:val="28"/>
        </w:rPr>
        <w:t>Таблица 1</w:t>
      </w:r>
    </w:p>
    <w:tbl>
      <w:tblPr>
        <w:tblW w:w="989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415"/>
        <w:gridCol w:w="2443"/>
        <w:gridCol w:w="2664"/>
        <w:gridCol w:w="3373"/>
      </w:tblGrid>
      <w:tr w:rsidR="00261CB4" w:rsidTr="002171FD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Наименование компетенции</w:t>
            </w:r>
          </w:p>
        </w:tc>
        <w:tc>
          <w:tcPr>
            <w:tcW w:w="2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компетенции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261CB4" w:rsidTr="002171FD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ПК-2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>Способность устанавливать предельно допустимый уровень риска на стратегическом уровне</w:t>
            </w:r>
          </w:p>
        </w:tc>
        <w:tc>
          <w:tcPr>
            <w:tcW w:w="2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>1. Определяет предел допустимого риска банка с учетом изменяющихся внешних факторов и существенности риска для конкретного банка.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>2. Обосновывает допустимый предел риска для стратегического уровня и риск-аппетита банка.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jc w:val="both"/>
            </w:pPr>
            <w:r>
              <w:t>1.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основные методы оценки различных банковских рисков;</w:t>
            </w:r>
          </w:p>
          <w:p w:rsidR="00261CB4" w:rsidRDefault="00E82DCD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261CB4" w:rsidRDefault="00E82DCD">
            <w:pPr>
              <w:jc w:val="both"/>
            </w:pPr>
            <w:r>
              <w:t>2.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основные методы прогнозирования величины базовых индикаторов финансового состояния банка,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color w:val="FF0000"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>использовать полученные знания для определения перспектив деятельности банка, ставить и формализовать задачи по повышению уровня его финансовой устойчивости.</w:t>
            </w:r>
          </w:p>
        </w:tc>
      </w:tr>
      <w:tr w:rsidR="00261CB4" w:rsidTr="002171FD"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>ПКН-2</w:t>
            </w:r>
          </w:p>
        </w:tc>
        <w:tc>
          <w:tcPr>
            <w:tcW w:w="2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 xml:space="preserve"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</w:t>
            </w:r>
            <w:r>
              <w:lastRenderedPageBreak/>
              <w:t xml:space="preserve">для целей эффективного управления финансовыми ресурсами, решения проектно-экономических задач, в том числе в условиях цифровой экономики и развития </w:t>
            </w:r>
            <w:proofErr w:type="spellStart"/>
            <w:r>
              <w:t>Финтеха</w:t>
            </w:r>
            <w:proofErr w:type="spellEnd"/>
            <w:r>
              <w:t>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6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lastRenderedPageBreak/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финансов-кредитной сферы.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>2. Демонстрирует способность решения проектно-экономических задач в профессиональной деятельности.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 xml:space="preserve">3. Демонстрирует освоение инструментов </w:t>
            </w:r>
            <w:proofErr w:type="spellStart"/>
            <w:r>
              <w:t>Финтеха</w:t>
            </w:r>
            <w:proofErr w:type="spellEnd"/>
            <w:r>
              <w:t>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t xml:space="preserve">4. Владеет методами анализа </w:t>
            </w:r>
            <w:r>
              <w:rPr>
                <w:lang w:val="en-US"/>
              </w:rPr>
              <w:t>Big</w:t>
            </w:r>
            <w:r>
              <w:t xml:space="preserve"> </w:t>
            </w:r>
            <w:r>
              <w:rPr>
                <w:lang w:val="en-US"/>
              </w:rPr>
              <w:t>Data</w:t>
            </w:r>
            <w:r>
              <w:t>, использует для решения профессиональных задач на микро-, мезо- и макроуровнях, в т.ч. на уровне финансового рынка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jc w:val="both"/>
            </w:pPr>
            <w:r>
              <w:lastRenderedPageBreak/>
              <w:t>1.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основные направления и методы анализа и оценки финансового состояния коммерческого банка;</w:t>
            </w:r>
          </w:p>
          <w:p w:rsidR="00261CB4" w:rsidRDefault="00E82DCD">
            <w:pPr>
              <w:jc w:val="both"/>
            </w:pPr>
            <w:r>
              <w:t>- возможности приложений для командной работы над проектами (</w:t>
            </w:r>
            <w:proofErr w:type="spellStart"/>
            <w:r>
              <w:t>YouGile</w:t>
            </w:r>
            <w:proofErr w:type="spellEnd"/>
            <w:r>
              <w:t>, Яндекс Документы);</w:t>
            </w:r>
          </w:p>
          <w:p w:rsidR="00261CB4" w:rsidRDefault="00E82DCD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 xml:space="preserve">: - правильно интерпретировать значения </w:t>
            </w:r>
            <w:r>
              <w:lastRenderedPageBreak/>
              <w:t>рассчитанных показателей, оценивать их взаимную связь;</w:t>
            </w:r>
          </w:p>
          <w:p w:rsidR="00261CB4" w:rsidRDefault="00E82DCD">
            <w:pPr>
              <w:jc w:val="both"/>
            </w:pPr>
            <w:r>
              <w:t>2.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261CB4" w:rsidRDefault="00E82DCD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 (</w:t>
            </w:r>
            <w:proofErr w:type="spellStart"/>
            <w:r>
              <w:t>Yandex</w:t>
            </w:r>
            <w:proofErr w:type="spellEnd"/>
            <w:r>
              <w:t xml:space="preserve"> </w:t>
            </w:r>
            <w:proofErr w:type="spellStart"/>
            <w:r>
              <w:t>DataLens</w:t>
            </w:r>
            <w:proofErr w:type="spellEnd"/>
            <w:r>
              <w:t xml:space="preserve">, </w:t>
            </w:r>
            <w:proofErr w:type="spellStart"/>
            <w:r>
              <w:t>Power</w:t>
            </w:r>
            <w:proofErr w:type="spellEnd"/>
            <w:r>
              <w:t xml:space="preserve"> BI </w:t>
            </w:r>
            <w:proofErr w:type="spellStart"/>
            <w:r>
              <w:t>Desktop</w:t>
            </w:r>
            <w:proofErr w:type="spellEnd"/>
            <w:r>
              <w:t>).</w:t>
            </w:r>
          </w:p>
          <w:p w:rsidR="00261CB4" w:rsidRDefault="00E82DCD">
            <w:pPr>
              <w:jc w:val="both"/>
            </w:pPr>
            <w:r>
              <w:t>3.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261CB4" w:rsidRDefault="00E82DCD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261CB4" w:rsidRDefault="00E82DCD">
            <w:pPr>
              <w:jc w:val="both"/>
            </w:pPr>
            <w:r>
              <w:t>4.</w:t>
            </w:r>
          </w:p>
          <w:p w:rsidR="00261CB4" w:rsidRDefault="00E82DCD">
            <w:pPr>
              <w:jc w:val="both"/>
            </w:pPr>
            <w:r>
              <w:rPr>
                <w:i/>
              </w:rPr>
              <w:t>знать</w:t>
            </w:r>
            <w:r>
              <w:t>: - основные направления применения технологий больших данных и искусственного интеллекта для оценки финансовой устойчивости банков,</w:t>
            </w:r>
          </w:p>
          <w:p w:rsidR="00261CB4" w:rsidRDefault="00E82DCD">
            <w:pPr>
              <w:jc w:val="both"/>
            </w:pPr>
            <w:r>
              <w:t xml:space="preserve"> - источники больших данных о финансовом и рыночном положении банка (analizbankov.ru, cbr.ru);</w:t>
            </w:r>
          </w:p>
          <w:p w:rsidR="00261CB4" w:rsidRDefault="00E82DCD">
            <w:pPr>
              <w:jc w:val="both"/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</w:tr>
    </w:tbl>
    <w:p w:rsidR="00E82DCD" w:rsidRDefault="00E82DCD" w:rsidP="00E82DCD">
      <w:pPr>
        <w:pStyle w:val="1"/>
        <w:spacing w:before="0" w:after="120"/>
        <w:rPr>
          <w:rFonts w:ascii="Times New Roman" w:eastAsiaTheme="minorEastAsia" w:hAnsi="Times New Roman" w:cs="Times New Roman"/>
          <w:b/>
          <w:color w:val="auto"/>
          <w:sz w:val="28"/>
          <w:szCs w:val="28"/>
        </w:rPr>
      </w:pPr>
      <w:bookmarkStart w:id="2" w:name="_Toc115871070"/>
    </w:p>
    <w:p w:rsidR="00261CB4" w:rsidRDefault="00E82DCD" w:rsidP="00E82DCD">
      <w:pPr>
        <w:pStyle w:val="1"/>
        <w:spacing w:before="0" w:after="120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>3. Место дисциплины в структуре образовательной программы</w:t>
      </w:r>
      <w:bookmarkEnd w:id="2"/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Дисциплина «</w:t>
      </w:r>
      <w:r w:rsidR="00810EB1" w:rsidRPr="00810EB1">
        <w:rPr>
          <w:sz w:val="28"/>
          <w:szCs w:val="28"/>
        </w:rPr>
        <w:t>Анализ и оценка финансового состояния и перспектив деятельности коммерческого банка</w:t>
      </w:r>
      <w:r>
        <w:rPr>
          <w:sz w:val="28"/>
          <w:szCs w:val="28"/>
        </w:rPr>
        <w:t>» является дисциплиной модуля направленности программы магистратуры «</w:t>
      </w:r>
      <w:r w:rsidR="00810EB1" w:rsidRPr="00810EB1">
        <w:rPr>
          <w:sz w:val="28"/>
          <w:szCs w:val="28"/>
        </w:rPr>
        <w:t>Управление финансовыми рисками: прикладная аналитика и технологии в банках</w:t>
      </w:r>
      <w:r>
        <w:rPr>
          <w:sz w:val="28"/>
          <w:szCs w:val="28"/>
        </w:rPr>
        <w:t xml:space="preserve">» направления подготовки 38.04.08 «Финансы и кредит». </w:t>
      </w:r>
      <w:bookmarkStart w:id="3" w:name="_GoBack"/>
      <w:bookmarkEnd w:id="3"/>
    </w:p>
    <w:p w:rsidR="00E82DCD" w:rsidRDefault="00E82DCD" w:rsidP="00E82DCD">
      <w:pPr>
        <w:pStyle w:val="1"/>
        <w:spacing w:before="0" w:after="120"/>
        <w:rPr>
          <w:rFonts w:ascii="Times New Roman" w:eastAsiaTheme="minorEastAsia" w:hAnsi="Times New Roman" w:cs="Times New Roman"/>
          <w:color w:val="auto"/>
          <w:sz w:val="28"/>
          <w:szCs w:val="28"/>
        </w:rPr>
      </w:pPr>
      <w:bookmarkStart w:id="4" w:name="_Toc115871071"/>
    </w:p>
    <w:p w:rsidR="00261CB4" w:rsidRDefault="00E82DCD" w:rsidP="002171FD">
      <w:pPr>
        <w:pStyle w:val="1"/>
        <w:spacing w:before="0" w:after="120" w:line="276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>
        <w:rPr>
          <w:rFonts w:ascii="Times New Roman" w:hAnsi="Times New Roman" w:cs="Times New Roman"/>
          <w:b/>
          <w:color w:val="auto"/>
          <w:sz w:val="28"/>
          <w:szCs w:val="28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bookmarkEnd w:id="4"/>
    </w:p>
    <w:p w:rsidR="00261CB4" w:rsidRDefault="00E82DCD" w:rsidP="00E82DCD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73"/>
        <w:gridCol w:w="2386"/>
        <w:gridCol w:w="2386"/>
      </w:tblGrid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>
            <w:pPr>
              <w:pStyle w:val="afb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</w:t>
            </w:r>
          </w:p>
          <w:p w:rsidR="002171FD" w:rsidRDefault="002171FD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Модуль 4</w:t>
            </w:r>
          </w:p>
          <w:p w:rsidR="002171FD" w:rsidRDefault="002171FD">
            <w:pPr>
              <w:pStyle w:val="afb"/>
              <w:keepNext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(в часах)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4/144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Лекции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текущего контроля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</w:t>
            </w:r>
          </w:p>
        </w:tc>
      </w:tr>
      <w:tr w:rsidR="002171FD" w:rsidTr="002171FD">
        <w:tc>
          <w:tcPr>
            <w:tcW w:w="4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  <w:tc>
          <w:tcPr>
            <w:tcW w:w="2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171FD" w:rsidRDefault="002171FD" w:rsidP="002171FD">
            <w:pPr>
              <w:pStyle w:val="afb"/>
              <w:keepNext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Экзамен</w:t>
            </w:r>
          </w:p>
        </w:tc>
      </w:tr>
    </w:tbl>
    <w:p w:rsidR="00261CB4" w:rsidRDefault="00261CB4">
      <w:pPr>
        <w:jc w:val="both"/>
        <w:rPr>
          <w:b/>
          <w:bCs/>
          <w:sz w:val="28"/>
          <w:szCs w:val="28"/>
        </w:rPr>
      </w:pP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115871072"/>
      <w:r>
        <w:rPr>
          <w:rFonts w:ascii="Times New Roman" w:hAnsi="Times New Roman" w:cs="Times New Roman"/>
          <w:b/>
          <w:color w:val="auto"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5"/>
    </w:p>
    <w:p w:rsidR="00261CB4" w:rsidRDefault="00E82DCD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115871073"/>
      <w:r>
        <w:rPr>
          <w:rFonts w:ascii="Times New Roman" w:hAnsi="Times New Roman" w:cs="Times New Roman"/>
          <w:b/>
          <w:color w:val="auto"/>
          <w:sz w:val="28"/>
          <w:szCs w:val="28"/>
        </w:rPr>
        <w:t>5.1. Содержание дисциплины</w:t>
      </w:r>
      <w:bookmarkEnd w:id="6"/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1. Содержание и факторы финансовой устойчивости кредитных организаций.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«финансовое состояние», «финансовая устойчивость», «финансовая стабильность», «экономическое положение» банка. Концептуальные подходы трактовки этих понятий. Признаки финансовой устойчивости кредитной организации. Внутренние, внешние, региональные факторы финансовой устойчивости кредитной организации.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Взаимосвязь финансовой устойчивости кредитной организации с устойчивостью банковской системы.</w:t>
      </w: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Тема 2. Методические и организационные основы финансовой устойчивости банков в условиях цифровизации экономики.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Характеристика системы оценки финансовой устойчивости банка и ее элементов. Цель оценки, субъекты, объект, и принципы оценки финансовой устойчивости коммерческого банка.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Критерии и показатели оценки финансовой устойчивости кредитной организации. Модели оценки финансовой устойчивости банка, их классификация. Особенности рейтинговых моделей, экспертных и смешанных. </w:t>
      </w:r>
    </w:p>
    <w:p w:rsidR="00261CB4" w:rsidRDefault="00E82DCD">
      <w:pPr>
        <w:pStyle w:val="Style23"/>
        <w:widowControl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Дифференциация кредитных организаций по степени финансовой устойчивости, характеристика классификационных групп устойчивости.</w:t>
      </w:r>
    </w:p>
    <w:p w:rsidR="00261CB4" w:rsidRDefault="00E82DCD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Блоки оценки финансовой устойчивости кредитной организации: методический, финансовый, нефинансовые и информационный. </w:t>
      </w:r>
    </w:p>
    <w:p w:rsidR="00261CB4" w:rsidRDefault="00E82DCD">
      <w:pPr>
        <w:pStyle w:val="Style23"/>
        <w:widowControl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Нормативно-правовая база проведения оценки финансовой устойчивости банка.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Финансовый анализ устойчивости банка. Нефинансовые характеристики устойчивости, критерии оценки. Информационная база проведения оценки. Внешние и внутренние источники информации. Финансовая и нефинансовая информация. Виды финансовой отчетности, их характеристика.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Источники больших данных для оценки устойчивости отдельных банков и групп банков (Банк России</w:t>
      </w:r>
      <w:r>
        <w:rPr>
          <w:rStyle w:val="a8"/>
          <w:sz w:val="28"/>
          <w:szCs w:val="28"/>
        </w:rPr>
        <w:footnoteReference w:id="1"/>
      </w:r>
      <w:r>
        <w:rPr>
          <w:sz w:val="28"/>
          <w:szCs w:val="28"/>
        </w:rPr>
        <w:t xml:space="preserve">, портал банковского аналитика).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Количественные и качественные показатели финансовой устойчивости банка. Группы основных коэффициентов (показателей), их назначение и использование в оценке.</w:t>
      </w:r>
    </w:p>
    <w:p w:rsidR="00261CB4" w:rsidRDefault="00261CB4">
      <w:pPr>
        <w:spacing w:line="360" w:lineRule="auto"/>
        <w:jc w:val="both"/>
        <w:rPr>
          <w:b/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3. Нефинансовые факторы финансовой устойчивости банка и их оценка.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Понятие рыночного позиционирования банка. Критерии рыночной позиции банка, ее оценка.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Бизнес-модель банка: понятие, разновидности и риски. Географическая и функциональная диверсификация направлений бизнеса.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Организационная структура банка, ее адаптивность к внешним угрозам. Качество системы управления.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Стратегия развития банка. Виды стратегий. Оценка степени достижимости заявленных целей в стратегии развития.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Структура собственности и деловая репутация. Деловая репутация собственников и руководителей. Наличие конфликта собственников и руководителей. Степень связанности операций банка с бизнесом собственников. Степень раскрытия собственников. Деловая репутация банка.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Банка России к оценке качественных факторов (Указание Банка России № 4336-У от 03.04.2017 «Об оценке экономического положения банков»): оценка качества управления (4 показателя) и оценка структуры собственности (3 показателя).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>Подходы кредитных рейтинговых агентств к оценке нефинансовых факторов кредитоспособности банков.</w:t>
      </w:r>
    </w:p>
    <w:p w:rsidR="00261CB4" w:rsidRDefault="00261CB4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Оценка качества активов банка и рисков</w:t>
      </w:r>
      <w:r>
        <w:t xml:space="preserve"> </w:t>
      </w:r>
      <w:r>
        <w:rPr>
          <w:b/>
          <w:sz w:val="28"/>
          <w:szCs w:val="28"/>
        </w:rPr>
        <w:t>с использованием цифровых технологий.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задачи оценки и анализа качества активов банка. Критерии качества активов. Сравнительная характеристика качества активов баланса банка. Методы оценки активов коммерческого банка. Характеристика взаимосвязи доходности активов и риска. Прямая и обратная зависимость.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кредитного портфеля банка. Сегменты кредитного портфеля и сопутствующие им риски. Качество кредитного портфеля, агрегированная оценка и индивидуальный риск.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Нормативное регулирование кредитного риска. Инструкция Банка России от 29 ноября 2019 г. N 199-И «Об обязательных нормативах и </w:t>
      </w:r>
      <w:r>
        <w:rPr>
          <w:sz w:val="28"/>
          <w:szCs w:val="28"/>
        </w:rPr>
        <w:lastRenderedPageBreak/>
        <w:t xml:space="preserve">надбавках к нормативам достаточности капитала банков с универсальной лицензией».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Методика Банка России по оценке качества активов коммерческого банка (Указание от 03.04.2017 г. № 4336-У «Об оценке экономического положения банков»).</w:t>
      </w:r>
    </w:p>
    <w:p w:rsidR="00261CB4" w:rsidRDefault="00E82DCD">
      <w:pPr>
        <w:spacing w:line="360" w:lineRule="auto"/>
        <w:ind w:firstLine="709"/>
        <w:jc w:val="both"/>
      </w:pPr>
      <w:r>
        <w:rPr>
          <w:sz w:val="28"/>
          <w:szCs w:val="28"/>
        </w:rPr>
        <w:t>Подходы кредитных рейтинговых агентств к оценке качества активов банков и уровня принятых рисков.</w:t>
      </w:r>
      <w:r>
        <w:t xml:space="preserve"> 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5. Оценка собственного капитала банка и его достаточности с использованием цифровых технологий.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Виды и структура собственного капитала: источники формирования, качество элементов капитала. Особенности структуры собственного капитала национального банковского сектора и отдельных банков.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достаточности собственного капитала. Факторы, определяющие объем и структуру капитала банка. Оценка достаточности капитала банковской группы, ее особенности. Риск вынужденной финансовой поддержки и его влияние на достаточность капитала банка на соло основе.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Показатели эффективности использования капитала банка. Влияние показателя рентабельности капитала на финансовую устойчивость банка.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Комплексная оценка капитала банка на основе его классификационной группы по методике Банка России (Указание №4336-У) и категории качества внутренних процедур оценки достаточности капитала (ВПОДК), согласно Указанию №3883-У.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достаточности собственного капитала банка. Динамический, структурный, сравнительный анализ структуры капитала банка. Подходы к оценке показателя достаточности капитала рейтинговых агентств.</w:t>
      </w:r>
    </w:p>
    <w:p w:rsidR="00261CB4" w:rsidRDefault="00261CB4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6. Оценка рентабельности банка с использованием цифровых технологий.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Виды и источники доходов банка. Факторы влияния на доходность деятельности банка.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Экономическое содержание показателей доходности и рентабельность деятельности коммерческого банка.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Количественный и качественный анализ доходности деятельности банка. Факторный анализ доходности и затратности операций на основе модели Дюпона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Взаимосвязь стабильного роста активов и рентабельности деятельности банка. Моделирование доходности активов. </w:t>
      </w:r>
    </w:p>
    <w:p w:rsidR="00261CB4" w:rsidRDefault="00E82DCD">
      <w:pPr>
        <w:pStyle w:val="Style23"/>
        <w:widowControl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Показатели оценки доходности банка в соответствии с Указанием Банка России от 03.04.2017 г. № 4336-У «Об оценке экономического положения банков».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доходности и рентабельности деятельности банка.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 7. </w:t>
      </w:r>
      <w:bookmarkStart w:id="7" w:name="OLE_LINK4"/>
      <w:bookmarkStart w:id="8" w:name="OLE_LINK3"/>
      <w:r>
        <w:rPr>
          <w:b/>
          <w:sz w:val="28"/>
          <w:szCs w:val="28"/>
        </w:rPr>
        <w:t>Оценка привлеченных и заемных ресурсов коммерческого банка</w:t>
      </w:r>
      <w:bookmarkEnd w:id="7"/>
      <w:bookmarkEnd w:id="8"/>
      <w:r>
        <w:rPr>
          <w:b/>
          <w:sz w:val="28"/>
          <w:szCs w:val="28"/>
        </w:rPr>
        <w:t xml:space="preserve"> с использованием цифровых технологий.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и анализ структуры привлеченных ресурсов банка. Критерии и методы оценки.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 сбалансированности ресурсов и активов банка. Факторы, определяющие оптимальную структуру ресурсов банка. Моделирование структуры ресурсов и активов с учетом регуляторных требований.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привлеченных и заемных средств</w:t>
      </w:r>
      <w:r>
        <w:rPr>
          <w:rStyle w:val="a8"/>
          <w:sz w:val="28"/>
          <w:szCs w:val="28"/>
        </w:rPr>
        <w:footnoteReference w:id="2"/>
      </w:r>
      <w:r>
        <w:rPr>
          <w:sz w:val="28"/>
          <w:szCs w:val="28"/>
        </w:rPr>
        <w:t xml:space="preserve"> банка.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8. Оценка ликвидности банка с использованием цифровых технологий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Понятие ликвидности банка и ликвидности баланса банка. Факторы, влияющие на состояние ликвидности банка.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Ликвидность коммерческого банка и ее связь с финансовой устойчивостью. Основные задачи и источники информации для анализа ликвидности. Методы оценки ликвидности коммерческого банка. Коэффициентный метод и метод разрывов (GAP). Матричный анализ ликвидности коммерческого банка. Анализ выполнения нормативов ликвидности.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Особенности оценки процентного риска при разрывах ликвидности. Методы анализа процентного риска: </w:t>
      </w:r>
      <w:r>
        <w:rPr>
          <w:sz w:val="28"/>
          <w:szCs w:val="28"/>
          <w:lang w:val="en-US"/>
        </w:rPr>
        <w:t>GAP</w:t>
      </w:r>
      <w:r>
        <w:rPr>
          <w:sz w:val="28"/>
          <w:szCs w:val="28"/>
        </w:rPr>
        <w:t>-анализ, имитационное моделирование.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 Банка России к оценке ликвидности банка (Указание 4336-У).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Подходы рейтинговых агентств к оценке ликвидности банка.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bookmarkStart w:id="9" w:name="OLE_LINK2"/>
      <w:bookmarkStart w:id="10" w:name="OLE_LINK1"/>
      <w:bookmarkEnd w:id="9"/>
      <w:bookmarkEnd w:id="10"/>
      <w:r>
        <w:rPr>
          <w:b/>
          <w:sz w:val="28"/>
          <w:szCs w:val="28"/>
        </w:rPr>
        <w:t>Тема 9. Комплексная оценка финансовой устойчивости банков и прогноз ее изменения на основе больших данных и искусственного интеллекта.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Ретроспективный метод оценки перспектив деятельности банка. Моделирование изменения количественных параметров объема активов и обязательств с учетом рыночных условий и целевых ориентиров деятельности банка. 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представление результатов оценки в виде интерактивных аналитических панелей (</w:t>
      </w:r>
      <w:proofErr w:type="spellStart"/>
      <w:r>
        <w:rPr>
          <w:sz w:val="28"/>
          <w:szCs w:val="28"/>
        </w:rPr>
        <w:t>dashboards</w:t>
      </w:r>
      <w:proofErr w:type="spellEnd"/>
      <w:r>
        <w:rPr>
          <w:sz w:val="28"/>
          <w:szCs w:val="28"/>
        </w:rPr>
        <w:t>) с использованием приложений для бизнес-аналитики (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  <w:r>
        <w:rPr>
          <w:sz w:val="28"/>
          <w:szCs w:val="28"/>
        </w:rPr>
        <w:t xml:space="preserve"> (Россия), </w:t>
      </w:r>
      <w:proofErr w:type="spellStart"/>
      <w:r>
        <w:rPr>
          <w:sz w:val="28"/>
          <w:szCs w:val="28"/>
        </w:rPr>
        <w:t>Power</w:t>
      </w:r>
      <w:proofErr w:type="spellEnd"/>
      <w:r>
        <w:rPr>
          <w:sz w:val="28"/>
          <w:szCs w:val="28"/>
        </w:rPr>
        <w:t xml:space="preserve"> BI </w:t>
      </w:r>
      <w:proofErr w:type="spellStart"/>
      <w:r>
        <w:rPr>
          <w:sz w:val="28"/>
          <w:szCs w:val="28"/>
        </w:rPr>
        <w:t>Desktop</w:t>
      </w:r>
      <w:proofErr w:type="spellEnd"/>
      <w:r>
        <w:rPr>
          <w:sz w:val="28"/>
          <w:szCs w:val="28"/>
        </w:rPr>
        <w:t xml:space="preserve"> (США).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Прогнозирование финансовых показателей деятельности банка на основе методов машинного обучения, встроенных в приложения для бизнес-анализа (</w:t>
      </w:r>
      <w:r>
        <w:rPr>
          <w:sz w:val="28"/>
          <w:szCs w:val="28"/>
          <w:lang w:val="en-US"/>
        </w:rPr>
        <w:t>BI</w:t>
      </w:r>
      <w:r>
        <w:rPr>
          <w:sz w:val="28"/>
          <w:szCs w:val="28"/>
        </w:rPr>
        <w:t xml:space="preserve">-приложения):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  <w:r>
        <w:rPr>
          <w:sz w:val="28"/>
          <w:szCs w:val="28"/>
        </w:rPr>
        <w:t xml:space="preserve"> (Россия), </w:t>
      </w:r>
      <w:proofErr w:type="spellStart"/>
      <w:r>
        <w:rPr>
          <w:sz w:val="28"/>
          <w:szCs w:val="28"/>
        </w:rPr>
        <w:t>Power</w:t>
      </w:r>
      <w:proofErr w:type="spellEnd"/>
      <w:r>
        <w:rPr>
          <w:sz w:val="28"/>
          <w:szCs w:val="28"/>
        </w:rPr>
        <w:t xml:space="preserve"> BI </w:t>
      </w:r>
      <w:proofErr w:type="spellStart"/>
      <w:r>
        <w:rPr>
          <w:sz w:val="28"/>
          <w:szCs w:val="28"/>
        </w:rPr>
        <w:t>Desktop</w:t>
      </w:r>
      <w:proofErr w:type="spellEnd"/>
      <w:r>
        <w:rPr>
          <w:sz w:val="28"/>
          <w:szCs w:val="28"/>
        </w:rPr>
        <w:t xml:space="preserve"> (США).</w:t>
      </w:r>
    </w:p>
    <w:p w:rsidR="00261CB4" w:rsidRDefault="00E82DCD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OLE_LINK21"/>
      <w:bookmarkStart w:id="12" w:name="OLE_LINK11"/>
      <w:bookmarkStart w:id="13" w:name="_Toc115871074"/>
      <w:bookmarkEnd w:id="11"/>
      <w:bookmarkEnd w:id="12"/>
      <w:r>
        <w:rPr>
          <w:rFonts w:ascii="Times New Roman" w:hAnsi="Times New Roman" w:cs="Times New Roman"/>
          <w:b/>
          <w:color w:val="auto"/>
          <w:sz w:val="28"/>
          <w:szCs w:val="28"/>
        </w:rPr>
        <w:t>5.2. Учебно-тематический план</w:t>
      </w:r>
      <w:bookmarkEnd w:id="13"/>
    </w:p>
    <w:p w:rsidR="00261CB4" w:rsidRDefault="00E82DCD">
      <w:pPr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W w:w="5000" w:type="pct"/>
        <w:tblInd w:w="-175" w:type="dxa"/>
        <w:tblLayout w:type="fixed"/>
        <w:tblLook w:val="04A0" w:firstRow="1" w:lastRow="0" w:firstColumn="1" w:lastColumn="0" w:noHBand="0" w:noVBand="1"/>
      </w:tblPr>
      <w:tblGrid>
        <w:gridCol w:w="578"/>
        <w:gridCol w:w="2189"/>
        <w:gridCol w:w="793"/>
        <w:gridCol w:w="919"/>
        <w:gridCol w:w="786"/>
        <w:gridCol w:w="1185"/>
        <w:gridCol w:w="924"/>
        <w:gridCol w:w="1971"/>
      </w:tblGrid>
      <w:tr w:rsidR="00261CB4">
        <w:tc>
          <w:tcPr>
            <w:tcW w:w="5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</w:t>
            </w:r>
          </w:p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п/п</w:t>
            </w:r>
          </w:p>
        </w:tc>
        <w:tc>
          <w:tcPr>
            <w:tcW w:w="21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тем (разделов) дисциплины</w:t>
            </w:r>
          </w:p>
        </w:tc>
        <w:tc>
          <w:tcPr>
            <w:tcW w:w="461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tabs>
                <w:tab w:val="right" w:pos="851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Трудоемкость в часах</w:t>
            </w:r>
          </w:p>
        </w:tc>
        <w:tc>
          <w:tcPr>
            <w:tcW w:w="19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Формы текущего контроля успеваемости</w:t>
            </w:r>
          </w:p>
        </w:tc>
      </w:tr>
      <w:tr w:rsidR="00261CB4">
        <w:tc>
          <w:tcPr>
            <w:tcW w:w="5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7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28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Контактная работа - Аудиторная работа</w:t>
            </w:r>
          </w:p>
        </w:tc>
        <w:tc>
          <w:tcPr>
            <w:tcW w:w="9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Самостоятельная работа</w:t>
            </w:r>
          </w:p>
        </w:tc>
        <w:tc>
          <w:tcPr>
            <w:tcW w:w="19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</w:tr>
      <w:tr w:rsidR="00261CB4">
        <w:tc>
          <w:tcPr>
            <w:tcW w:w="5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7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Общая, в т.ч.: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Лекции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Семинары, практические   </w:t>
            </w:r>
            <w:r>
              <w:rPr>
                <w:sz w:val="20"/>
                <w:szCs w:val="20"/>
              </w:rPr>
              <w:lastRenderedPageBreak/>
              <w:t>занятия</w:t>
            </w:r>
          </w:p>
        </w:tc>
        <w:tc>
          <w:tcPr>
            <w:tcW w:w="9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19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1. Содержание и факторы финансовой устойчивости кредитных организаций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2. Методические и организационные основы финансовой устойчивости банков в условиях цифровизации экономики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построение набора банков и выгрузка данных по ним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3. Нефинансовые факторы финансовой устойчивости банка и их оценка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Дискуссия;</w:t>
            </w:r>
          </w:p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ситуационных задач на примере российских банков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4. Оценка качества активов банка и рисков с использованием цифровых технологий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 по анализу качества активов реальных банков, построение и проверка интерактивных панелей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5. Оценка собственного капитала банка и его достаточности с использованием цифровых технологий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Сбор данных по заданию с помощью открытых источников данных, решение ситуационных задач по анализу структуры и достаточности капитала банков, построение и проверка интерактивных панелей</w:t>
            </w:r>
          </w:p>
        </w:tc>
      </w:tr>
      <w:tr w:rsidR="00261CB4">
        <w:trPr>
          <w:trHeight w:val="1108"/>
        </w:trPr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6. Оценка рентабельности банка с использованием цифровых технологий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 по анализу рентабельности российских банков, построение и проверка интерактивных панелей</w:t>
            </w:r>
          </w:p>
        </w:tc>
      </w:tr>
      <w:tr w:rsidR="00261CB4">
        <w:trPr>
          <w:trHeight w:val="455"/>
        </w:trPr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261CB4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ИТОГО по модулю 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261CB4">
            <w:pPr>
              <w:jc w:val="center"/>
              <w:rPr>
                <w:sz w:val="20"/>
                <w:szCs w:val="20"/>
              </w:rPr>
            </w:pP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7. Оценка привлеченных и заемных ресурсов коммерческого банка с использованием цифровых технологий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Дискуссия, сбор данных по заданию, решение ситуационных задач, построение и проверка интерактивных </w:t>
            </w:r>
            <w:r>
              <w:rPr>
                <w:sz w:val="20"/>
                <w:szCs w:val="20"/>
              </w:rPr>
              <w:lastRenderedPageBreak/>
              <w:t>панелей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8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8. Оценка ликвидности банка с использованием цифровых технологий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Дискуссия, сбор данных по заданию, решение ситуационных задач, построение и проверка интерактивных панелей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9. Комплексная оценка финансовой устойчивости банков и прогноз ее изменения на основе больших данных и искусственного интеллекта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контрольной работы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ИТОГО по модулю 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261CB4">
            <w:pPr>
              <w:rPr>
                <w:sz w:val="20"/>
                <w:szCs w:val="20"/>
              </w:rPr>
            </w:pP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целом по дисциплине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 учебному плану: контрольная работа</w:t>
            </w:r>
          </w:p>
        </w:tc>
      </w:tr>
      <w:tr w:rsidR="00261CB4">
        <w:tc>
          <w:tcPr>
            <w:tcW w:w="5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261CB4">
            <w:pPr>
              <w:tabs>
                <w:tab w:val="right" w:pos="851"/>
              </w:tabs>
              <w:rPr>
                <w:sz w:val="20"/>
                <w:szCs w:val="20"/>
              </w:rPr>
            </w:pPr>
          </w:p>
        </w:tc>
        <w:tc>
          <w:tcPr>
            <w:tcW w:w="2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tabs>
                <w:tab w:val="right" w:pos="851"/>
              </w:tabs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%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E82DCD">
            <w:pPr>
              <w:tabs>
                <w:tab w:val="right" w:pos="851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61CB4" w:rsidRDefault="00261CB4">
            <w:pPr>
              <w:rPr>
                <w:sz w:val="20"/>
                <w:szCs w:val="20"/>
              </w:rPr>
            </w:pPr>
          </w:p>
        </w:tc>
      </w:tr>
    </w:tbl>
    <w:p w:rsidR="00261CB4" w:rsidRDefault="00261CB4">
      <w:pPr>
        <w:jc w:val="both"/>
        <w:rPr>
          <w:b/>
          <w:sz w:val="28"/>
          <w:szCs w:val="28"/>
        </w:rPr>
      </w:pPr>
    </w:p>
    <w:p w:rsidR="00261CB4" w:rsidRDefault="00261CB4">
      <w:pPr>
        <w:pStyle w:val="af3"/>
        <w:jc w:val="both"/>
        <w:rPr>
          <w:b w:val="0"/>
          <w:szCs w:val="28"/>
        </w:rPr>
      </w:pPr>
    </w:p>
    <w:p w:rsidR="00261CB4" w:rsidRDefault="00E82DCD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115871075"/>
      <w:r>
        <w:rPr>
          <w:rFonts w:ascii="Times New Roman" w:hAnsi="Times New Roman" w:cs="Times New Roman"/>
          <w:b/>
          <w:color w:val="auto"/>
          <w:sz w:val="28"/>
          <w:szCs w:val="28"/>
        </w:rPr>
        <w:t>5.3. Содержание семинаров, практических занятий</w:t>
      </w:r>
      <w:bookmarkEnd w:id="14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61CB4" w:rsidRDefault="00E82DCD">
      <w:pPr>
        <w:keepNext/>
        <w:ind w:firstLine="709"/>
        <w:jc w:val="right"/>
        <w:rPr>
          <w:b/>
          <w:sz w:val="28"/>
          <w:szCs w:val="28"/>
        </w:rPr>
      </w:pPr>
      <w:r>
        <w:rPr>
          <w:sz w:val="28"/>
          <w:szCs w:val="28"/>
        </w:rPr>
        <w:t>Таблица 4</w:t>
      </w:r>
    </w:p>
    <w:tbl>
      <w:tblPr>
        <w:tblW w:w="9570" w:type="dxa"/>
        <w:tblLayout w:type="fixed"/>
        <w:tblLook w:val="04A0" w:firstRow="1" w:lastRow="0" w:firstColumn="1" w:lastColumn="0" w:noHBand="0" w:noVBand="1"/>
      </w:tblPr>
      <w:tblGrid>
        <w:gridCol w:w="1886"/>
        <w:gridCol w:w="4773"/>
        <w:gridCol w:w="2911"/>
      </w:tblGrid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 w:rsidP="00E82DCD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Наименование тем (разделов) дисциплины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 w:rsidP="00E82DCD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Перечень вопросов для обсуждения на семинарах, практических занятиях, рекомендуемые источники из разделов 8,9 (указывается раздел и порядковый номер источника)</w:t>
            </w:r>
          </w:p>
          <w:p w:rsidR="00261CB4" w:rsidRDefault="00261CB4" w:rsidP="00E82DCD">
            <w:pPr>
              <w:keepNext/>
              <w:jc w:val="center"/>
              <w:rPr>
                <w:b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 w:rsidP="00E82DCD">
            <w:pPr>
              <w:keepNext/>
              <w:jc w:val="center"/>
              <w:rPr>
                <w:b/>
              </w:rPr>
            </w:pPr>
            <w:r>
              <w:rPr>
                <w:b/>
              </w:rPr>
              <w:t>Формы проведения занятий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Тема 1. Содержание и факторы финансовой устойчивости кредитных организаций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Понятие финансовой устойчивости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Общая характеристика типов устойчивости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Внешние и внутренние факторы финансовой устойчивости.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  <w:r>
              <w:rPr>
                <w:i/>
                <w:sz w:val="22"/>
                <w:szCs w:val="22"/>
              </w:rPr>
              <w:t>, 3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трактовке финансовой устойчивости и ее факторам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Тема 2. Методические и организационные основы финансовой устойчивости банков в условиях цифровизации экономики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Система оценки финансовой устойчивости кредитной организации, ее основные элементы.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Типы моделей оценки финансовой устойчивости банка.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Базовые подходы и основные направления анализа финансового состояния банка.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Особенности анализа структуры баланса банка в российской и зарубежной практике.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Инструментарий баз данных Банка России (cbr.ru) и портала банковского аналитика (analizbankov.ru) для сбора и обработки </w:t>
            </w:r>
            <w:r>
              <w:rPr>
                <w:sz w:val="22"/>
                <w:szCs w:val="22"/>
              </w:rPr>
              <w:lastRenderedPageBreak/>
              <w:t>информации об отдельном банке или наборе банков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Сквозные цифровые технологии: понятие, виды и применение в кредитном анализе банков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Цифровые источники структурированных данных для анализа финансовой устойчивости коммерческого банка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Понятие и свойства больших данных. Их особенности в оценке устойчивости банка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Сравнительная характеристика традиционных и современных инструментов анализа финансового состояния банков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Содержание и архитектура данных о кредитных организациях на сайте Банка России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разделы и возможности портала банковского аналитика (analizbankov.ru)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Тактика выбор сопоставимых банков для сравнительного анализа с использованием analizbankov.ru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Группы банков на analizbankov.ru: построение, особенности индикаторов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Встроенные и пользовательские рейтинги банков на analizbankov.ru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7"/>
              </w:numPr>
              <w:tabs>
                <w:tab w:val="left" w:pos="395"/>
              </w:tabs>
              <w:spacing w:after="60"/>
              <w:ind w:left="-45" w:firstLine="142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Особенности подготовки массива данных для обработки в приложениях бизнес-анализа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5, 6, 8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2, 5, 6, 7, 8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портала банковского аналитика и его возможностей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Обзор структуры данных о кредитных организациях на сайте Банка России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Разбор приемов работы с приложениями для бизнес-аналитики, обзор их </w:t>
            </w:r>
            <w:r>
              <w:rPr>
                <w:sz w:val="22"/>
                <w:szCs w:val="22"/>
              </w:rPr>
              <w:lastRenderedPageBreak/>
              <w:t>возможностей по обработке больших данных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 xml:space="preserve">Тема 3. </w:t>
            </w:r>
            <w:r>
              <w:rPr>
                <w:sz w:val="22"/>
                <w:szCs w:val="22"/>
              </w:rPr>
              <w:t>Нефинансовые факторы финансовой устойчивости банка и их оценка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к оценке рыночных позиций банка.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Диверсификация и оценка направлений деловой активности банка.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Способы оценки качества управления (компетентность команды управленцев, система управления рисками и др.).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Стратегия банка и ее оценки в контексте анализа уровня устойчивости банка и перспектив его деятельности.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Оценка структуры собственности банка.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Использование цифровых источников для оценки деловой репутации и уровня акционерных рисков.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8"/>
              </w:numPr>
              <w:tabs>
                <w:tab w:val="left" w:pos="524"/>
              </w:tabs>
              <w:ind w:left="99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Подходы Банка России к оценке нефинансовых факторов (Указание 4336-У).</w:t>
            </w:r>
          </w:p>
          <w:p w:rsidR="00261CB4" w:rsidRDefault="00261CB4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нормативно-правовые акты: </w:t>
            </w:r>
            <w:r>
              <w:rPr>
                <w:i/>
                <w:sz w:val="22"/>
                <w:szCs w:val="22"/>
                <w:lang w:val="en-US"/>
              </w:rPr>
              <w:t>6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Тема 4. Оценка качества активов банка и уровня принятых рисков с использованием цифровых технологий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Динамика структуры активов российских коммерческих банков в современных условиях.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качества активов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 xml:space="preserve"> Оценка качества активов по методике Банка России (Указание № 4336-У).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Использование цифровых инструментов для анализа качества активов банка или группы банков.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Подходы рейтинговых агентств к оценке качества активов банков.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 Способы оценки уровня принятых банком рисков в контексте изучения уровня его финансовой устойчивости (рыночные риски, операционный риск, система управления рисками).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4, 6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2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активов банка с использованием портала банковского аналитика и других источников.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активов с использованием портала банковского аналитика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proofErr w:type="spellStart"/>
            <w:r>
              <w:rPr>
                <w:sz w:val="22"/>
                <w:szCs w:val="22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(Россия)</w:t>
            </w:r>
            <w:r>
              <w:rPr>
                <w:rStyle w:val="a8"/>
                <w:sz w:val="22"/>
                <w:szCs w:val="22"/>
              </w:rPr>
              <w:footnoteReference w:id="3"/>
            </w:r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Power</w:t>
            </w:r>
            <w:proofErr w:type="spellEnd"/>
            <w:r>
              <w:rPr>
                <w:sz w:val="22"/>
                <w:szCs w:val="22"/>
              </w:rPr>
              <w:t xml:space="preserve"> BI </w:t>
            </w:r>
            <w:proofErr w:type="spellStart"/>
            <w:r>
              <w:rPr>
                <w:sz w:val="22"/>
                <w:szCs w:val="22"/>
              </w:rPr>
              <w:t>Desktop</w:t>
            </w:r>
            <w:proofErr w:type="spellEnd"/>
            <w:r>
              <w:rPr>
                <w:sz w:val="22"/>
                <w:szCs w:val="22"/>
              </w:rPr>
              <w:t xml:space="preserve"> (США)</w:t>
            </w:r>
            <w:r>
              <w:rPr>
                <w:rStyle w:val="a8"/>
                <w:sz w:val="22"/>
                <w:szCs w:val="22"/>
              </w:rPr>
              <w:footnoteReference w:id="4"/>
            </w:r>
            <w:r>
              <w:rPr>
                <w:sz w:val="22"/>
                <w:szCs w:val="22"/>
              </w:rPr>
              <w:t>)</w:t>
            </w:r>
          </w:p>
          <w:p w:rsidR="00261CB4" w:rsidRDefault="00261CB4">
            <w:pPr>
              <w:pStyle w:val="afb"/>
              <w:keepNext/>
              <w:tabs>
                <w:tab w:val="left" w:pos="412"/>
              </w:tabs>
              <w:ind w:left="164"/>
              <w:jc w:val="both"/>
              <w:rPr>
                <w:sz w:val="22"/>
                <w:szCs w:val="22"/>
              </w:rPr>
            </w:pP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Тема 5. Оценка собственного капитала банка и его достаточности с использованием цифровых технологий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Понятие собственного капитала банка и его структуры.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ab/>
              <w:t>Методы и цель расчета базового, добавочного, основного и дополнительного капитала, собственных средств (капитала)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>Оценка структуры собственного капитала российских банков в современных условиях.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ab/>
              <w:t>Методика Банка России по оценке достаточности собственного капитала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</w:t>
            </w:r>
            <w:r>
              <w:rPr>
                <w:sz w:val="22"/>
                <w:szCs w:val="22"/>
              </w:rPr>
              <w:tab/>
              <w:t>Надбавки к нормативу достаточности собственного капитала.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6.</w:t>
            </w:r>
            <w:r>
              <w:rPr>
                <w:sz w:val="22"/>
                <w:szCs w:val="22"/>
              </w:rPr>
              <w:tab/>
              <w:t>Методика Банка России и по оценке качества капитала банка (Указание №4336-У).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 Подходы рейтинговых агентств к оценке качества собственного капитала банков.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tabs>
                <w:tab w:val="left" w:pos="3852"/>
              </w:tabs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1, 4, 6, 7, 9, 10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3, 4</w:t>
            </w: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капитала банка с использованием портала банковского аналитика и других источников.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собственного капитала и его достаточности с использованием портала банковского аналитика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Построение </w:t>
            </w:r>
            <w:r>
              <w:rPr>
                <w:sz w:val="22"/>
                <w:szCs w:val="22"/>
              </w:rPr>
              <w:lastRenderedPageBreak/>
              <w:t>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Тема 6. Оценка рентабельности банка с использованием цифровых технологий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Коэффициентный метод оценки уровня доходности и прибыльности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Структурный анализ уровня прибыльности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рентабельности банка.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структуре доходов и расходов, уровне рентабельности банка с использованием портала банковского аналитика и других источников.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их рентабельности с использованием портала банковского аналитика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Тема 7. Оценка привлеченных и заемных ресурсов коммерческого банка с использованием цифровых технологий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>Динамика структуры и динамики привлеченных</w:t>
            </w:r>
            <w:r>
              <w:rPr>
                <w:sz w:val="22"/>
                <w:szCs w:val="20"/>
              </w:rPr>
              <w:t xml:space="preserve"> и заемных</w:t>
            </w:r>
            <w:r>
              <w:rPr>
                <w:sz w:val="22"/>
                <w:szCs w:val="22"/>
              </w:rPr>
              <w:t xml:space="preserve"> ресурсов коммерческих банков.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Оценка уровня концентрации ресурсов (по категории клиентов, на крупнейших кредиторах, по типу источника, др.)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Оценка стабильности ресурсной базы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 Оценка стоимости ресурсной базы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Подходы Банка России (Указание 4336-У) и рейтинговых агентств к оценке качества привлеченных и заемных ресурсов банка.</w:t>
            </w: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</w:t>
            </w:r>
            <w:r>
              <w:rPr>
                <w:i/>
                <w:sz w:val="22"/>
                <w:szCs w:val="22"/>
                <w:lang w:val="en-US"/>
              </w:rPr>
              <w:t xml:space="preserve"> </w:t>
            </w:r>
            <w:r>
              <w:rPr>
                <w:i/>
                <w:sz w:val="22"/>
                <w:szCs w:val="22"/>
              </w:rPr>
              <w:t>2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Дискуссия по вопросам темы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 качестве привлеченных и заемных ресурсов банка с использованием портала банковского аналитика и других источников.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качества привлеченных и заемных ресурсов с использованием портала банковского аналитика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lastRenderedPageBreak/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lastRenderedPageBreak/>
              <w:t>Тема 8. Оценка ликвидности банка с использованием цифровых технологий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Особенности расчета норматива краткосрочной ликвидности Н26 (Н27) и норматива чистого стабильного фондирования Н28(29) для системно значимых банков (банковских групп)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Методы оценки уровня ликвидности банка.</w:t>
            </w:r>
          </w:p>
          <w:p w:rsidR="00261CB4" w:rsidRDefault="00E82DCD">
            <w:pPr>
              <w:keepNext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Подходы Банка России (Указание 4336-У) и рейтинговых агентств к оценке ликвидности банка.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2, 3, 4, 6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рекомендуемая литература: 1, 4, 6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Решение ситуационных задач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Сбор количественных данных об уровне ликвидности банка с использованием портала банковского аналитика и других источников.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набора банков для проведения сравнительного анализа уровня их ликвидности с использованием портала банковского аналитика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Копирование данных в табличный редактор и / или приложение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последующего анализа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</w:tc>
      </w:tr>
      <w:tr w:rsidR="00261CB4"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0"/>
              </w:rPr>
            </w:pPr>
            <w:r>
              <w:rPr>
                <w:sz w:val="22"/>
                <w:szCs w:val="20"/>
              </w:rPr>
              <w:t>Тема 9. Комплексная оценка финансовой устойчивости банков и прогноз ее изменения на основе больших данных и искусственного интеллекта</w:t>
            </w:r>
          </w:p>
        </w:tc>
        <w:tc>
          <w:tcPr>
            <w:tcW w:w="4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tabs>
                <w:tab w:val="left" w:pos="395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Сравнительная характеристика надзорных методик оценки уровня финансовой устойчивости банков.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Особенности методик российских и зарубежных рейтинговых агентств к оценке уровня кредитоспособности банков.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Возможности приложений для бизнес-аналитики по визуализации данных о финансовой устойчивости банков, а также решению задач кластеризации, прогнозирования на основе методов машинного обучения, заложенных в приложения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  <w:p w:rsidR="00261CB4" w:rsidRDefault="00E82DCD">
            <w:pPr>
              <w:keepNext/>
              <w:ind w:firstLine="119"/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Рекомендуемые источники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нормативно-правовые акты: 6, 8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5"/>
              </w:numPr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рекомендуемая литература: </w:t>
            </w:r>
            <w:r>
              <w:rPr>
                <w:i/>
                <w:sz w:val="22"/>
                <w:szCs w:val="22"/>
                <w:lang w:val="en-US"/>
              </w:rPr>
              <w:t>1</w:t>
            </w:r>
          </w:p>
          <w:p w:rsidR="00261CB4" w:rsidRDefault="00261CB4">
            <w:pPr>
              <w:keepNext/>
              <w:jc w:val="both"/>
              <w:rPr>
                <w:sz w:val="22"/>
                <w:szCs w:val="22"/>
              </w:rPr>
            </w:pPr>
          </w:p>
        </w:tc>
        <w:tc>
          <w:tcPr>
            <w:tcW w:w="2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rFonts w:eastAsiaTheme="minorEastAsia"/>
                <w:sz w:val="22"/>
                <w:szCs w:val="22"/>
              </w:rPr>
            </w:pPr>
            <w:r>
              <w:rPr>
                <w:rFonts w:eastAsiaTheme="minorEastAsia"/>
                <w:sz w:val="22"/>
                <w:szCs w:val="22"/>
              </w:rPr>
              <w:t>Проведение дебатов по вопросу о возможности применения эконометрических моделей для выявления потенциально слабых банков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Защита контрольных работ по оценке финансовой устойчивости банков.</w:t>
            </w:r>
          </w:p>
          <w:p w:rsidR="00261CB4" w:rsidRDefault="00E82DCD">
            <w:pPr>
              <w:pStyle w:val="afb"/>
              <w:keepNext/>
              <w:numPr>
                <w:ilvl w:val="0"/>
                <w:numId w:val="4"/>
              </w:numPr>
              <w:tabs>
                <w:tab w:val="left" w:pos="412"/>
              </w:tabs>
              <w:ind w:left="0" w:firstLine="164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отображения результатов контрольной работы</w:t>
            </w:r>
          </w:p>
        </w:tc>
      </w:tr>
    </w:tbl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Материалы для подготовки к занятиям размещаются в электронной образовательной среде </w:t>
      </w:r>
      <w:r>
        <w:rPr>
          <w:sz w:val="28"/>
          <w:szCs w:val="28"/>
          <w:lang w:val="en-US"/>
        </w:rPr>
        <w:t>LMS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Moodle</w:t>
      </w:r>
      <w:r>
        <w:rPr>
          <w:sz w:val="28"/>
          <w:szCs w:val="28"/>
        </w:rPr>
        <w:t>.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B046A" w:rsidP="00EB046A">
      <w:pPr>
        <w:pStyle w:val="1"/>
        <w:spacing w:before="0" w:after="120" w:line="276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115871076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6</w:t>
      </w:r>
      <w:r w:rsidR="00E82DCD">
        <w:rPr>
          <w:rFonts w:ascii="Times New Roman" w:hAnsi="Times New Roman" w:cs="Times New Roman"/>
          <w:b/>
          <w:color w:val="auto"/>
          <w:sz w:val="28"/>
          <w:szCs w:val="28"/>
        </w:rPr>
        <w:t>. Перечень учебно-методического обеспечения для самостоятельной работы обучающихся по дисциплине</w:t>
      </w:r>
      <w:bookmarkEnd w:id="15"/>
    </w:p>
    <w:p w:rsidR="00261CB4" w:rsidRDefault="00E82DCD" w:rsidP="00EB046A">
      <w:pPr>
        <w:pStyle w:val="20"/>
        <w:spacing w:before="120" w:after="120" w:line="276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6" w:name="_Toc115871077"/>
      <w:r>
        <w:rPr>
          <w:rFonts w:ascii="Times New Roman" w:hAnsi="Times New Roman" w:cs="Times New Roman"/>
          <w:b/>
          <w:color w:val="auto"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6"/>
    </w:p>
    <w:p w:rsidR="00261CB4" w:rsidRDefault="00E82DCD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5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362"/>
        <w:gridCol w:w="3737"/>
        <w:gridCol w:w="3246"/>
      </w:tblGrid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Наименование тем (разделов) дисциплины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Перечень вопросов, отводимых на самостоятельное освоение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keepNext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Формы внеаудиторной самостоятельной работы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1. Содержание и факторы финансовой устойчивости кредитных организаций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Соотношение понятий «устойчивости», «стабильность» и «надежность» банка.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 Факторы финансовой устойчивости банков и оценка их значимости (по материалам современных эконометрических исследований)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 Методические и организационные основы финансовой устойчивости банков в условиях цифровизации экономики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Организация работы Банка России по оценке финансовой устойчивости поднадзорных банков и банковских групп (нормативная база, задействованные подразделения, источники информации, направления анализа)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Организация деятельности рейтинговых агентств по оценке кредитоспособности банков.</w:t>
            </w:r>
          </w:p>
          <w:p w:rsidR="00261CB4" w:rsidRDefault="00261CB4">
            <w:pPr>
              <w:keepNext/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rPr>
                <w:sz w:val="22"/>
                <w:szCs w:val="22"/>
              </w:rPr>
            </w:pPr>
          </w:p>
          <w:p w:rsidR="00261CB4" w:rsidRDefault="00261CB4">
            <w:pPr>
              <w:tabs>
                <w:tab w:val="left" w:pos="1155"/>
              </w:tabs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рекомендованной литературы;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современных публикаций по вопросам темы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финансовой отчетности банка;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структуры пояснительной записки к финансовой отчетности (по РСБУ и МСФО)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структуры методик кредитных рейтинговых агентств;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дополнительных источников данных о банках (портал арбитражных дел kad.arbitr.ru, центр раскрытия корпоративной информации e-disclosure.ru и др.)</w:t>
            </w:r>
          </w:p>
        </w:tc>
      </w:tr>
      <w:tr w:rsidR="00261CB4">
        <w:trPr>
          <w:trHeight w:val="2526"/>
        </w:trPr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3. Нефинансовые факторы финансовой устойчивости банка и их оценка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Способы оценки уровня концентрации деловой активности банков на одном или нескольких направлениях (по видам услуг, клиентской группе, регионам присутствия).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нефинансовых факторов.</w:t>
            </w:r>
          </w:p>
          <w:p w:rsidR="00261CB4" w:rsidRDefault="00261CB4"/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нормативных документов;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выбор банка для проведения оценки его финансовой устойчивости с использованием цифровых технологий (analizbankov.ru, cbr.ru, </w:t>
            </w:r>
            <w:proofErr w:type="spellStart"/>
            <w:r>
              <w:rPr>
                <w:sz w:val="22"/>
                <w:szCs w:val="22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, </w:t>
            </w:r>
            <w:proofErr w:type="spellStart"/>
            <w:r>
              <w:rPr>
                <w:sz w:val="22"/>
                <w:szCs w:val="22"/>
              </w:rPr>
              <w:t>Power</w:t>
            </w:r>
            <w:proofErr w:type="spellEnd"/>
            <w:r>
              <w:rPr>
                <w:sz w:val="22"/>
                <w:szCs w:val="22"/>
              </w:rPr>
              <w:t xml:space="preserve"> BI </w:t>
            </w:r>
            <w:proofErr w:type="spellStart"/>
            <w:r>
              <w:rPr>
                <w:sz w:val="22"/>
                <w:szCs w:val="22"/>
              </w:rPr>
              <w:t>Desktop</w:t>
            </w:r>
            <w:proofErr w:type="spellEnd"/>
            <w:r>
              <w:rPr>
                <w:sz w:val="22"/>
                <w:szCs w:val="22"/>
              </w:rPr>
              <w:t>)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4. Оценка </w:t>
            </w:r>
            <w:r>
              <w:rPr>
                <w:sz w:val="22"/>
                <w:szCs w:val="22"/>
              </w:rPr>
              <w:lastRenderedPageBreak/>
              <w:t>качества активов банка и уровня принятых рисков с использованием цифровых технологий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1. Подходы ЕЦБ к оценке </w:t>
            </w:r>
            <w:r>
              <w:rPr>
                <w:sz w:val="22"/>
                <w:szCs w:val="22"/>
              </w:rPr>
              <w:lastRenderedPageBreak/>
              <w:t>устойчивости европейских банков в части активов банков и уровня принятых ими рисков.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активов банка и уровня принятых рисков.</w:t>
            </w:r>
          </w:p>
          <w:p w:rsidR="00261CB4" w:rsidRDefault="00261CB4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- изучение методики ЕЦБ по оценке кредитоспособности банков;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5. Оценка собственного капитала банка и его достаточности с использованием цифровых технологий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собственного капитала.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собственного капитала.</w:t>
            </w:r>
          </w:p>
          <w:p w:rsidR="00261CB4" w:rsidRDefault="00261CB4">
            <w:pPr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</w:t>
            </w:r>
            <w:r>
              <w:rPr>
                <w:sz w:val="22"/>
                <w:szCs w:val="22"/>
              </w:rPr>
              <w:lastRenderedPageBreak/>
              <w:t>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6. Оценка рентабельности банка с использованием цифровых технологий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рентабельности.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рентабельности банков.</w:t>
            </w:r>
          </w:p>
          <w:p w:rsidR="00261CB4" w:rsidRDefault="00261CB4">
            <w:pPr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7. Оценка привлеченных и заемных ресурсов коммерческого банка с использованием цифровых технологий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качества их привлеченных и заемных средств.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привлеченных и заемных средств банков.</w:t>
            </w:r>
          </w:p>
          <w:p w:rsidR="00261CB4" w:rsidRDefault="00261CB4">
            <w:pPr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разработка и построение </w:t>
            </w:r>
            <w:r>
              <w:rPr>
                <w:sz w:val="22"/>
                <w:szCs w:val="22"/>
              </w:rPr>
              <w:lastRenderedPageBreak/>
              <w:t>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Тема 8. Оценка ликвидности банка с использованием цифровых технологий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Подходы ЕЦБ к оценке устойчивости европейских банков в части уровня их ликвидности.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Сравнительная характеристика методик агентств АКРА, Эксперт РА, НКР и НРА по оценке качества привлеченных и заемных средств банков.</w:t>
            </w:r>
          </w:p>
          <w:p w:rsidR="00261CB4" w:rsidRDefault="00E82DCD">
            <w:pPr>
              <w:keepNext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Стресс-тестирование как метод оценки ликвидности банка</w:t>
            </w:r>
          </w:p>
          <w:p w:rsidR="00261CB4" w:rsidRDefault="00261CB4">
            <w:pPr>
              <w:rPr>
                <w:sz w:val="22"/>
                <w:szCs w:val="22"/>
              </w:rPr>
            </w:pPr>
          </w:p>
          <w:p w:rsidR="00261CB4" w:rsidRDefault="00261CB4">
            <w:pPr>
              <w:keepNext/>
              <w:ind w:firstLine="283"/>
              <w:rPr>
                <w:sz w:val="22"/>
                <w:szCs w:val="22"/>
              </w:rPr>
            </w:pP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литературы;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изучение методики ЕЦБ по оценке кредитоспособности банков;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- изучение методик кредитных рейтинговых агентств;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сбор данных для выполнения контрольной работы (в части соответствующей темы), их обобщение в табличном редакторе;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анализ собранных данных для их обработки, визуализации средствами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рамках выполнения контрольной работы;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в части темы для визуализации материала в рамках выполнения контрольной работы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командная работа в мини-группах с использованием средств удаленной совместной работы для контактов студентов друг с другом и с 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  <w:tr w:rsidR="00261CB4">
        <w:tc>
          <w:tcPr>
            <w:tcW w:w="2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9. Комплексная оценка финансовой устойчивости банков и прогноз ее изменения на основе больших данных и искусственного интеллекта</w:t>
            </w:r>
          </w:p>
        </w:tc>
        <w:tc>
          <w:tcPr>
            <w:tcW w:w="3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Сравнительная характеристика российских и зарубежных методик оценки финансовой устойчивости банков (органов надзор и рейтинговых агентств)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Возможности приложений для бизнес-аналитики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по решению задач прогнозирования.</w:t>
            </w:r>
          </w:p>
        </w:tc>
        <w:tc>
          <w:tcPr>
            <w:tcW w:w="3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разработка и построение интерактивных панелей (</w:t>
            </w:r>
            <w:proofErr w:type="spellStart"/>
            <w:r>
              <w:rPr>
                <w:sz w:val="22"/>
                <w:szCs w:val="22"/>
                <w:lang w:val="en-US"/>
              </w:rPr>
              <w:t>Yandex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  <w:lang w:val="en-US"/>
              </w:rPr>
              <w:t>DataLens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r>
              <w:rPr>
                <w:sz w:val="22"/>
                <w:szCs w:val="22"/>
                <w:lang w:val="en-US"/>
              </w:rPr>
              <w:t>MS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Power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BI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Desktop</w:t>
            </w:r>
            <w:r>
              <w:rPr>
                <w:sz w:val="22"/>
                <w:szCs w:val="22"/>
              </w:rPr>
              <w:t>) для представления результатов контрольной работы по оценке устойчивости выбранного банка</w:t>
            </w:r>
          </w:p>
          <w:p w:rsidR="00261CB4" w:rsidRDefault="00E82DC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командная работа в мини-группах с использованием средств удаленной совместной работы для контактов студентов друг с другом и с </w:t>
            </w:r>
            <w:r>
              <w:rPr>
                <w:sz w:val="22"/>
                <w:szCs w:val="22"/>
              </w:rPr>
              <w:lastRenderedPageBreak/>
              <w:t>преподавателем (</w:t>
            </w:r>
            <w:proofErr w:type="spellStart"/>
            <w:r>
              <w:rPr>
                <w:sz w:val="22"/>
                <w:szCs w:val="22"/>
              </w:rPr>
              <w:t>YouGile</w:t>
            </w:r>
            <w:proofErr w:type="spellEnd"/>
            <w:r>
              <w:rPr>
                <w:sz w:val="22"/>
                <w:szCs w:val="22"/>
              </w:rPr>
              <w:t>, Яндекс Документы, VK звонки)</w:t>
            </w:r>
          </w:p>
        </w:tc>
      </w:tr>
    </w:tbl>
    <w:p w:rsidR="00261CB4" w:rsidRDefault="00261CB4">
      <w:pPr>
        <w:keepNext/>
        <w:jc w:val="both"/>
        <w:rPr>
          <w:b/>
          <w:sz w:val="28"/>
          <w:szCs w:val="28"/>
        </w:rPr>
      </w:pPr>
    </w:p>
    <w:p w:rsidR="00261CB4" w:rsidRDefault="00E82DCD">
      <w:pPr>
        <w:pStyle w:val="20"/>
        <w:spacing w:before="12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7" w:name="_Toc115871078"/>
      <w:r>
        <w:rPr>
          <w:rFonts w:ascii="Times New Roman" w:hAnsi="Times New Roman" w:cs="Times New Roman"/>
          <w:b/>
          <w:color w:val="auto"/>
          <w:sz w:val="28"/>
          <w:szCs w:val="28"/>
        </w:rPr>
        <w:t>6.2. Перечень вопросов, заданий, тем для подготовки к текущему контролю</w:t>
      </w:r>
      <w:bookmarkEnd w:id="17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61CB4" w:rsidRDefault="00E82DCD">
      <w:pPr>
        <w:pStyle w:val="af3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 Примерный перечень вопросов к контрольной работе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Источники финансовой отчетности для анализа устойчивости российского банка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финансовой отчетности российского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формы финансовой отчетности для изучения финансового состояния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Иные формы раскрытия сведений о банке (помимо публикуемой финансовой отчетности), полезные для оценки уровня его устойчивости.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нефинансовые факторы для оценки уровня кредитоспособности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Компоненты комплексной методики оценки финансовой устойчивости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Значение рыночных позиций банка и степени диверсификации его бизнеса для оценки уровня финансовой устойчивости.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качества управления и стратегии банка в контексте оценки его финансовой устойчивости.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Структура собственности банка и деловая репутация его собственников и руководителей для оценки кредитоспособности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 xml:space="preserve"> Методы оценки качества активов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качества собственного капитала банка и его достаточности.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Содержание показателя усредненной генерации капитала и порядок его расчета.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Финансовые показатели для анализа уровня кредитного риска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Тактика оценки диверсификации кредитного портфеля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уровня рентабельности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Основные финансовые коэффициенты для анализа доходности и рентабельности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Методы оценки качества ресурсной базы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Тактика оценки диверсификации ресурсной базы банка.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Способы оценки уровня ликвидности банка на основе его финансовой отчетности.</w:t>
      </w:r>
    </w:p>
    <w:p w:rsidR="00261CB4" w:rsidRDefault="00E82DCD">
      <w:pPr>
        <w:pStyle w:val="af3"/>
        <w:numPr>
          <w:ilvl w:val="0"/>
          <w:numId w:val="9"/>
        </w:numPr>
        <w:spacing w:line="360" w:lineRule="auto"/>
        <w:ind w:hanging="502"/>
        <w:jc w:val="both"/>
        <w:rPr>
          <w:b w:val="0"/>
          <w:szCs w:val="28"/>
        </w:rPr>
      </w:pPr>
      <w:r>
        <w:rPr>
          <w:b w:val="0"/>
          <w:szCs w:val="28"/>
        </w:rPr>
        <w:t>Состав нормативов ликвидности банков.</w:t>
      </w:r>
    </w:p>
    <w:p w:rsidR="00261CB4" w:rsidRDefault="00E82DCD">
      <w:pPr>
        <w:pStyle w:val="af3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Перечень примерных практико-ориентированных заданий для контрольной работы.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Проведите анализ рыночных позиций и диверсификации бизнеса выбранного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качество управления и стратегию по открытым данным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Найдите информацию о структуре собственности банка и деловой репутации российского банка и оцените их влияние на уровень финансовой устойчивости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Соберите необходимые данные и проведите горизонтальный и вертикальный анализ активов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На основании данных российского банка посчитаете и оцените значения показателей качества кредитного портфеля.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степень диверсификации кредитного портфеля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Обобщите данные о структуре капитала российского банка, посчитайте нормативы достаточности капитала.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Посчитайте коэффициент усредненной генерации капитала российского банка и дайте ему оценку.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источники прироста капитала выбранного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lastRenderedPageBreak/>
        <w:t>Соберите данные о структуре доходов российского банка и оцените степень их диверсификации.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Проанализируйте уровень рентабельности выбранного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диверсификации ресурсной базы выбранного российского банка.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Рассчитайте показатели качества привлеченных и заемных средств российского банка и дайте им оценку.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Оцените степень зависимости российского банка от привлечения межбанковских кредитов Банка России.</w:t>
      </w:r>
    </w:p>
    <w:p w:rsidR="00261CB4" w:rsidRDefault="00E82DCD">
      <w:pPr>
        <w:pStyle w:val="af3"/>
        <w:numPr>
          <w:ilvl w:val="0"/>
          <w:numId w:val="10"/>
        </w:numPr>
        <w:spacing w:line="360" w:lineRule="auto"/>
        <w:jc w:val="both"/>
        <w:rPr>
          <w:b w:val="0"/>
          <w:szCs w:val="28"/>
        </w:rPr>
      </w:pPr>
      <w:r>
        <w:rPr>
          <w:b w:val="0"/>
          <w:szCs w:val="28"/>
        </w:rPr>
        <w:t>По итогам проведенных расчетов сделайте комплексный вывод об уровне финансовой устойчивости выбранного российского банка.</w:t>
      </w:r>
    </w:p>
    <w:p w:rsidR="00261CB4" w:rsidRDefault="00E82DCD">
      <w:pPr>
        <w:pStyle w:val="af3"/>
        <w:spacing w:line="360" w:lineRule="auto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Проведение дебатов </w:t>
      </w:r>
    </w:p>
    <w:p w:rsidR="00261CB4" w:rsidRDefault="00E82DCD">
      <w:pPr>
        <w:pStyle w:val="af3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Для участия в дебатах студенты группы делятся на 2 команды, примерно равные по численности. В каждой команде выбирается капитан, отвечающий за обобщение собранных членами команды материалов и выдвинутых ими аргументов, а также за общение с преподавателем, ведущим семинарские занятия.</w:t>
      </w:r>
    </w:p>
    <w:p w:rsidR="00261CB4" w:rsidRDefault="00E82DCD">
      <w:pPr>
        <w:pStyle w:val="af3"/>
        <w:spacing w:line="360" w:lineRule="auto"/>
        <w:ind w:firstLine="709"/>
        <w:jc w:val="both"/>
        <w:rPr>
          <w:b w:val="0"/>
          <w:color w:val="000000" w:themeColor="text1"/>
          <w:szCs w:val="28"/>
        </w:rPr>
      </w:pPr>
      <w:r>
        <w:rPr>
          <w:b w:val="0"/>
          <w:color w:val="000000" w:themeColor="text1"/>
          <w:szCs w:val="28"/>
        </w:rPr>
        <w:t>Распределение обязанностей в команде остается на усмотрение студентов. Рекомендуется выделить 2-3 человек для поиска материалов. Собранные материалы распределяются для внимательного и критического чтения между всеми участниками команды. Каждый участник команды готовит (независимо друг от друга) аргументы в защиту позиции и контраргументы (вопросы) к точке зрения оппонентов. Затем все обмениваются идеями. Капитан команды обобщает их и готовит проект выступления. Все члены команды выбирают наиболее удачные вопросы для участия в дискуссии.</w:t>
      </w:r>
    </w:p>
    <w:p w:rsidR="00261CB4" w:rsidRDefault="00E82DCD">
      <w:pPr>
        <w:tabs>
          <w:tab w:val="left" w:pos="-180"/>
        </w:tabs>
        <w:spacing w:line="360" w:lineRule="exact"/>
        <w:ind w:right="7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балльной оценки различных форм текущего контроля успеваемости</w:t>
      </w:r>
    </w:p>
    <w:p w:rsidR="00261CB4" w:rsidRDefault="00E82DCD">
      <w:pPr>
        <w:tabs>
          <w:tab w:val="left" w:pos="-180"/>
        </w:tabs>
        <w:spacing w:line="360" w:lineRule="exact"/>
        <w:ind w:right="70" w:firstLine="720"/>
        <w:jc w:val="both"/>
        <w:rPr>
          <w:sz w:val="28"/>
          <w:szCs w:val="28"/>
        </w:rPr>
      </w:pPr>
      <w:bookmarkStart w:id="18" w:name="_Hlk107308365"/>
      <w:r>
        <w:rPr>
          <w:sz w:val="28"/>
          <w:szCs w:val="28"/>
        </w:rPr>
        <w:t xml:space="preserve">Критерии балльной оценки различных форм текущего контроля успеваемости содержатся в соответствующих методических рекомендациях </w:t>
      </w:r>
      <w:r>
        <w:rPr>
          <w:sz w:val="28"/>
          <w:szCs w:val="28"/>
        </w:rPr>
        <w:lastRenderedPageBreak/>
        <w:t>Департамента банковского дела и монетарного регулирования.</w:t>
      </w:r>
      <w:bookmarkEnd w:id="18"/>
    </w:p>
    <w:p w:rsidR="00261CB4" w:rsidRDefault="00261CB4">
      <w:pPr>
        <w:pStyle w:val="af3"/>
        <w:jc w:val="both"/>
        <w:rPr>
          <w:b w:val="0"/>
          <w:szCs w:val="28"/>
        </w:rPr>
      </w:pPr>
    </w:p>
    <w:p w:rsidR="00261CB4" w:rsidRDefault="00E82DCD" w:rsidP="00EB046A">
      <w:pPr>
        <w:pStyle w:val="1"/>
        <w:spacing w:before="0" w:after="120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9" w:name="_Toc115871079"/>
      <w:r>
        <w:rPr>
          <w:rFonts w:ascii="Times New Roman" w:hAnsi="Times New Roman" w:cs="Times New Roman"/>
          <w:b/>
          <w:color w:val="auto"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  <w:bookmarkEnd w:id="19"/>
    </w:p>
    <w:p w:rsidR="00261CB4" w:rsidRDefault="00E82DCD">
      <w:pPr>
        <w:spacing w:line="360" w:lineRule="exact"/>
        <w:ind w:firstLine="708"/>
        <w:jc w:val="both"/>
        <w:rPr>
          <w:sz w:val="28"/>
          <w:szCs w:val="20"/>
        </w:rPr>
      </w:pPr>
      <w:r>
        <w:rPr>
          <w:sz w:val="28"/>
          <w:szCs w:val="28"/>
        </w:rPr>
        <w:t>Перечень компетенций с указанием индикаторов их достижения в процессе освоения образовательной программы содержится в разделе 2 «</w:t>
      </w:r>
      <w:r>
        <w:rPr>
          <w:sz w:val="28"/>
          <w:szCs w:val="20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:rsidR="00EB046A" w:rsidRDefault="00E82DCD">
      <w:pPr>
        <w:spacing w:line="360" w:lineRule="exact"/>
        <w:ind w:firstLine="708"/>
        <w:jc w:val="both"/>
        <w:rPr>
          <w:sz w:val="28"/>
          <w:szCs w:val="20"/>
        </w:rPr>
      </w:pPr>
      <w:r>
        <w:rPr>
          <w:sz w:val="28"/>
          <w:szCs w:val="20"/>
        </w:rPr>
        <w:t xml:space="preserve">                                                                                                 </w:t>
      </w:r>
    </w:p>
    <w:p w:rsidR="00EB046A" w:rsidRDefault="00EB046A" w:rsidP="00EB046A">
      <w:pPr>
        <w:rPr>
          <w:sz w:val="28"/>
          <w:szCs w:val="20"/>
        </w:rPr>
      </w:pPr>
    </w:p>
    <w:p w:rsidR="00EB046A" w:rsidRDefault="00EB046A" w:rsidP="00EB046A">
      <w:pPr>
        <w:spacing w:line="360" w:lineRule="exact"/>
        <w:ind w:firstLine="709"/>
        <w:jc w:val="both"/>
        <w:rPr>
          <w:color w:val="000000"/>
        </w:rPr>
      </w:pPr>
      <w:bookmarkStart w:id="20" w:name="_Hlk107308407"/>
      <w:r>
        <w:rPr>
          <w:b/>
          <w:color w:val="000000"/>
          <w:sz w:val="28"/>
          <w:szCs w:val="28"/>
        </w:rPr>
        <w:t>Типовые контрольные задания или иные материалы, необходимые для оценки индикаторов достижения компетенций, умений и знаний</w:t>
      </w:r>
      <w:bookmarkEnd w:id="20"/>
    </w:p>
    <w:p w:rsidR="00EB046A" w:rsidRDefault="00EB046A" w:rsidP="00EB046A">
      <w:pPr>
        <w:ind w:firstLine="709"/>
        <w:jc w:val="right"/>
        <w:rPr>
          <w:color w:val="000000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                          Таблица 6</w:t>
      </w:r>
    </w:p>
    <w:p w:rsidR="00EB046A" w:rsidRDefault="00EB046A" w:rsidP="00EB046A">
      <w:pPr>
        <w:rPr>
          <w:sz w:val="28"/>
          <w:szCs w:val="20"/>
        </w:rPr>
      </w:pPr>
    </w:p>
    <w:p w:rsidR="00EB046A" w:rsidRDefault="00EB046A" w:rsidP="00EB046A">
      <w:pPr>
        <w:rPr>
          <w:sz w:val="28"/>
          <w:szCs w:val="20"/>
        </w:rPr>
      </w:pPr>
    </w:p>
    <w:p w:rsidR="00261CB4" w:rsidRPr="00EB046A" w:rsidRDefault="00261CB4" w:rsidP="00EB046A">
      <w:pPr>
        <w:rPr>
          <w:sz w:val="28"/>
          <w:szCs w:val="20"/>
        </w:rPr>
        <w:sectPr w:rsidR="00261CB4" w:rsidRPr="00EB046A">
          <w:headerReference w:type="default" r:id="rId8"/>
          <w:footerReference w:type="default" r:id="rId9"/>
          <w:pgSz w:w="11906" w:h="16838"/>
          <w:pgMar w:top="765" w:right="850" w:bottom="1134" w:left="1701" w:header="708" w:footer="708" w:gutter="0"/>
          <w:cols w:space="720"/>
          <w:formProt w:val="0"/>
          <w:docGrid w:linePitch="360"/>
        </w:sectPr>
      </w:pPr>
    </w:p>
    <w:p w:rsidR="00261CB4" w:rsidRDefault="00261CB4">
      <w:pPr>
        <w:spacing w:line="360" w:lineRule="exact"/>
        <w:ind w:firstLine="708"/>
        <w:jc w:val="right"/>
        <w:rPr>
          <w:sz w:val="28"/>
          <w:szCs w:val="20"/>
        </w:rPr>
      </w:pPr>
    </w:p>
    <w:tbl>
      <w:tblPr>
        <w:tblStyle w:val="14"/>
        <w:tblW w:w="15083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293"/>
        <w:gridCol w:w="2730"/>
        <w:gridCol w:w="2798"/>
        <w:gridCol w:w="7262"/>
      </w:tblGrid>
      <w:tr w:rsidR="00261CB4">
        <w:tc>
          <w:tcPr>
            <w:tcW w:w="2292" w:type="dxa"/>
          </w:tcPr>
          <w:p w:rsidR="00261CB4" w:rsidRDefault="00E82DCD" w:rsidP="00EB046A">
            <w:pPr>
              <w:tabs>
                <w:tab w:val="right" w:leader="dot" w:pos="9345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компетенции</w:t>
            </w:r>
          </w:p>
        </w:tc>
        <w:tc>
          <w:tcPr>
            <w:tcW w:w="2730" w:type="dxa"/>
          </w:tcPr>
          <w:p w:rsidR="00261CB4" w:rsidRDefault="00E82DCD" w:rsidP="00EB046A">
            <w:pPr>
              <w:tabs>
                <w:tab w:val="right" w:leader="dot" w:pos="9345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индикаторов</w:t>
            </w:r>
            <w:r>
              <w:rPr>
                <w:b/>
                <w:bCs/>
              </w:rPr>
              <w:br/>
              <w:t xml:space="preserve">достижения </w:t>
            </w:r>
            <w:r>
              <w:rPr>
                <w:b/>
                <w:bCs/>
              </w:rPr>
              <w:br/>
              <w:t>компетенции</w:t>
            </w:r>
          </w:p>
        </w:tc>
        <w:tc>
          <w:tcPr>
            <w:tcW w:w="2798" w:type="dxa"/>
          </w:tcPr>
          <w:p w:rsidR="00261CB4" w:rsidRDefault="00E82DCD" w:rsidP="00EB046A">
            <w:pPr>
              <w:tabs>
                <w:tab w:val="right" w:leader="dot" w:pos="9345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7262" w:type="dxa"/>
          </w:tcPr>
          <w:p w:rsidR="00261CB4" w:rsidRDefault="00E82DCD" w:rsidP="00EB046A">
            <w:pPr>
              <w:tabs>
                <w:tab w:val="right" w:leader="dot" w:pos="9345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Типовые</w:t>
            </w:r>
            <w:r>
              <w:rPr>
                <w:b/>
                <w:bCs/>
              </w:rPr>
              <w:br/>
              <w:t>контрольные</w:t>
            </w:r>
            <w:r>
              <w:rPr>
                <w:b/>
                <w:bCs/>
              </w:rPr>
              <w:br/>
              <w:t>задания</w:t>
            </w:r>
          </w:p>
        </w:tc>
      </w:tr>
      <w:tr w:rsidR="00261CB4">
        <w:tc>
          <w:tcPr>
            <w:tcW w:w="2292" w:type="dxa"/>
          </w:tcPr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ПК-2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Способность устанавливать предельно допустимый уровень риска на стратегическом уровне</w:t>
            </w:r>
          </w:p>
        </w:tc>
        <w:tc>
          <w:tcPr>
            <w:tcW w:w="2730" w:type="dxa"/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Определяет предел допустимого риска банка с учетом изменяющихся внешних факторов и существенности риска для конкретного банка.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2. Обосновывает допустимый предел риска для стратегического уровня и риск-аппетита банка.</w:t>
            </w:r>
          </w:p>
        </w:tc>
        <w:tc>
          <w:tcPr>
            <w:tcW w:w="2798" w:type="dxa"/>
          </w:tcPr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1.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оценки различных банковских рисков;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интерпретировать результаты вычисления прогнозных показателей деятельности банка и предлагать меры для их корректировки;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2.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методы прогнозирования величины базовых индикаторов финансового состояния банка,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</w:t>
            </w:r>
            <w:r>
              <w:tab/>
              <w:t xml:space="preserve">использовать полученные знания для определения перспектив деятельности банка, ставить и формализовать задачи по повышению уровня его финансовой </w:t>
            </w:r>
            <w:r>
              <w:lastRenderedPageBreak/>
              <w:t>устойчивости.</w:t>
            </w:r>
          </w:p>
        </w:tc>
        <w:tc>
          <w:tcPr>
            <w:tcW w:w="7262" w:type="dxa"/>
          </w:tcPr>
          <w:p w:rsidR="00261CB4" w:rsidRDefault="00E82DCD">
            <w:pPr>
              <w:tabs>
                <w:tab w:val="right" w:leader="dot" w:pos="9345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На основании нижеприведенных данных о значениях и динамике показателей процентного риска в структуре риск-аппетита АО «АЛЬФА-БАНК» необходимо: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1) определить сходства и отличия различных индикаторов, применяемых банком для измерения величины и ограничения уровня процентного риска;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2) проанализировать динамику показателей процентного риска;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3) предположить возможные причины изменения расчетных значений показателей процентного риска;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4) определить запас прочности для соблюдения показателей процентного риска.</w:t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415155" cy="84709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515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491990" cy="140779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990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4373880" cy="204851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880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596640" cy="91059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640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539615" cy="2532380"/>
                  <wp:effectExtent l="0" t="0" r="0" b="0"/>
                  <wp:docPr id="5" name="Изображение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9615" cy="253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76625" cy="880745"/>
                  <wp:effectExtent l="0" t="0" r="0" b="0"/>
                  <wp:docPr id="6" name="Изображение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6625" cy="880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4396740" cy="2148205"/>
                  <wp:effectExtent l="0" t="0" r="0" b="0"/>
                  <wp:docPr id="7" name="Изображение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Изображение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6740" cy="214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457575" cy="871855"/>
                  <wp:effectExtent l="0" t="0" r="0" b="0"/>
                  <wp:docPr id="8" name="Изображение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Рассчитать</w:t>
            </w:r>
            <w:r>
              <w:rPr>
                <w:bCs/>
              </w:rPr>
              <w:t xml:space="preserve"> норматив достаточности базового капитала (Н1.1) по данным таблицы 1, а также </w:t>
            </w:r>
            <w:r>
              <w:rPr>
                <w:bCs/>
                <w:u w:val="single"/>
              </w:rPr>
              <w:t>определить</w:t>
            </w:r>
            <w:r>
              <w:rPr>
                <w:bCs/>
              </w:rPr>
              <w:t xml:space="preserve"> уровень совокупного риска, который может принять при условии соблюдения норматива достаточности базового капитала и надбавок к капиталу. Допустим, что ниже приведены данные по системно значимому банку.</w:t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Таблица 1. Данные для оценки достаточности базового капитала (млн. руб.)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3403"/>
              <w:gridCol w:w="980"/>
            </w:tblGrid>
            <w:tr w:rsidR="00261CB4">
              <w:tc>
                <w:tcPr>
                  <w:tcW w:w="1446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143 695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237 993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225 779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Ар21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20 142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9 093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907 900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  <w:r>
                    <w:rPr>
                      <w:rStyle w:val="a8"/>
                      <w:spacing w:val="-2"/>
                      <w:sz w:val="18"/>
                      <w:szCs w:val="18"/>
                    </w:rPr>
                    <w:footnoteReference w:id="5"/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6 920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61CB4" w:rsidRDefault="00E82DCD">
                  <w:pPr>
                    <w:jc w:val="center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Корректировка на суммы, включаемые дважды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8855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36 062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proofErr w:type="spellStart"/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  <w:proofErr w:type="spellEnd"/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208 621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Требования к связанным лицам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52 217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261CB4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261CB4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Операции с повышенными коэффициентами риска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3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322 061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 w:val="restart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3403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76 860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13 158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11 410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170 601</w:t>
                  </w:r>
                </w:p>
              </w:tc>
            </w:tr>
          </w:tbl>
          <w:p w:rsidR="00261CB4" w:rsidRDefault="00261CB4">
            <w:pPr>
              <w:rPr>
                <w:b/>
              </w:rPr>
            </w:pPr>
          </w:p>
        </w:tc>
      </w:tr>
      <w:tr w:rsidR="00261CB4">
        <w:tc>
          <w:tcPr>
            <w:tcW w:w="2292" w:type="dxa"/>
          </w:tcPr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</w:rPr>
            </w:pPr>
            <w:r>
              <w:rPr>
                <w:b/>
                <w:bCs/>
              </w:rPr>
              <w:lastRenderedPageBreak/>
              <w:t>ПК-4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lastRenderedPageBreak/>
              <w:t>Способность осуществлять контроль и координацию деятельности систем внутреннего контроля на всех уровнях управления банком</w:t>
            </w:r>
          </w:p>
        </w:tc>
        <w:tc>
          <w:tcPr>
            <w:tcW w:w="2730" w:type="dxa"/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1. Определяет источники, </w:t>
            </w:r>
            <w:r>
              <w:rPr>
                <w:bCs/>
              </w:rPr>
              <w:lastRenderedPageBreak/>
              <w:t>содержащие наиболее полную и достоверную информацию о работе объекта внутреннего контроля.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2. Выявляет и оценивает </w:t>
            </w:r>
            <w:r>
              <w:lastRenderedPageBreak/>
              <w:t>условия, способствующие возникновению значимых рисков и их трансформации в рисковые события</w:t>
            </w:r>
          </w:p>
        </w:tc>
        <w:tc>
          <w:tcPr>
            <w:tcW w:w="2798" w:type="dxa"/>
          </w:tcPr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1.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lastRenderedPageBreak/>
              <w:t>знать</w:t>
            </w:r>
            <w:r>
              <w:rPr>
                <w:bCs/>
              </w:rPr>
              <w:t>: - основные методы финансового планирования в коммерческом банке;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составлять финансовые планы банка;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2.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виды банковских рисков и их влияние на финансовую устойчивость банка,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применять современный математический инструментарий для количественной оценки рисков банка и выбора способов из минимизации.</w:t>
            </w:r>
          </w:p>
        </w:tc>
        <w:tc>
          <w:tcPr>
            <w:tcW w:w="7262" w:type="dxa"/>
          </w:tcPr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Используя данные официальной финансовой отчетности ПАО Московский кредитный банк (</w:t>
            </w:r>
            <w:hyperlink r:id="rId17">
              <w:r>
                <w:rPr>
                  <w:bCs/>
                </w:rPr>
                <w:t>http://www.e-disclosure.ru/portal/company.aspx?id=202</w:t>
              </w:r>
            </w:hyperlink>
            <w:r>
              <w:rPr>
                <w:bCs/>
              </w:rPr>
              <w:t>), информация о принимаемых рисках, процедурах их оценки, управления рисками и капиталом банка, а также иные релевантные источники информации проведите оценку качества его активов и кредитного портфеля.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рассчитать долю работающих активов, а также показатели рискованности кредитного портфеля;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61CB4" w:rsidRDefault="00E82DCD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>Используя доступные данные финансовой отчетности КБ «Центр-Инвест», проведите оценку качества его привлеченных и заемных средств.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написать выводы по результатам проведенного анализа качества ресурсной базы</w:t>
            </w: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Рассчитать</w:t>
            </w:r>
            <w:r>
              <w:rPr>
                <w:bCs/>
              </w:rPr>
              <w:t xml:space="preserve"> норматив достаточности собственного капитала (Н1.0) по данным таблицы 1, а также </w:t>
            </w:r>
            <w:r>
              <w:rPr>
                <w:bCs/>
                <w:u w:val="single"/>
              </w:rPr>
              <w:t>определить</w:t>
            </w:r>
            <w:r>
              <w:rPr>
                <w:bCs/>
              </w:rPr>
              <w:t xml:space="preserve"> объем убытка (вследствие реализации кредитного риска), который может принять банка при условии соблюдения норматива достаточности собственного капитала и надбавок к капиталу. Допустим, что ниже приведены данные по системно значимому банку.</w:t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Таблица 1. Данные для оценки достаточности собственного капитала (млн. руб.)</w:t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1446"/>
              <w:gridCol w:w="2440"/>
              <w:gridCol w:w="1943"/>
            </w:tblGrid>
            <w:tr w:rsidR="00261CB4">
              <w:tc>
                <w:tcPr>
                  <w:tcW w:w="1446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Собственный капитал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457,1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290,4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Основной капитал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279,7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266,2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266,2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Ар10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1-й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265,2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26,8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26,8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Ар20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2-й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25,4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18,5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18,5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Ар30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3-й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19,0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2 376,5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2 376,7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Ар40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4-й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2 382,2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Ар51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Ар52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Ар50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 5-й группы риска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8807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Ипотека с достаточным обеспечением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БК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Активы, предусматривающие применение повышенных требований по покрытию капиталом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13,7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proofErr w:type="spellStart"/>
                  <w:r>
                    <w:rPr>
                      <w:spacing w:val="-2"/>
                      <w:sz w:val="18"/>
                      <w:szCs w:val="18"/>
                    </w:rPr>
                    <w:t>ПКр</w:t>
                  </w:r>
                  <w:proofErr w:type="spellEnd"/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Потребительские кредиты (без обеспечения)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0,5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</w:p>
              </w:tc>
              <w:tc>
                <w:tcPr>
                  <w:tcW w:w="2440" w:type="dxa"/>
                  <w:vMerge w:val="restart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Требования к связанным лицам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380,8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</w:p>
              </w:tc>
              <w:tc>
                <w:tcPr>
                  <w:tcW w:w="2440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382,3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lastRenderedPageBreak/>
                    <w:t>Код 8957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</w:p>
              </w:tc>
              <w:tc>
                <w:tcPr>
                  <w:tcW w:w="2440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380,8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0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 w:val="restart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условным обязательствам кредитного характера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1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КРВ (код 8810</w:t>
                  </w:r>
                  <w:r>
                    <w:rPr>
                      <w:spacing w:val="-2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spacing w:val="-2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2440" w:type="dxa"/>
                  <w:vMerge/>
                </w:tcPr>
                <w:p w:rsidR="00261CB4" w:rsidRDefault="00261CB4">
                  <w:pPr>
                    <w:rPr>
                      <w:spacing w:val="-2"/>
                      <w:sz w:val="18"/>
                      <w:szCs w:val="18"/>
                    </w:rPr>
                  </w:pP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408,4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КРС (код 8811)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кредитного риска по срочным сделкам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27,2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РСК (код 8866)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Величина риска изменения стоимости кредитного требования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0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ОР (код 8942)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Операционный риск (с учетом коэффициента 12,5)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13,4</w:t>
                  </w:r>
                </w:p>
              </w:tc>
            </w:tr>
            <w:tr w:rsidR="00261CB4">
              <w:tc>
                <w:tcPr>
                  <w:tcW w:w="1446" w:type="dxa"/>
                  <w:vAlign w:val="center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РР (код 8812)</w:t>
                  </w:r>
                </w:p>
              </w:tc>
              <w:tc>
                <w:tcPr>
                  <w:tcW w:w="2440" w:type="dxa"/>
                </w:tcPr>
                <w:p w:rsidR="00261CB4" w:rsidRDefault="00E82DCD">
                  <w:pPr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Рыночный риск</w:t>
                  </w:r>
                </w:p>
              </w:tc>
              <w:tc>
                <w:tcPr>
                  <w:tcW w:w="1943" w:type="dxa"/>
                  <w:vAlign w:val="center"/>
                </w:tcPr>
                <w:p w:rsidR="00261CB4" w:rsidRDefault="00E82DCD">
                  <w:pPr>
                    <w:jc w:val="right"/>
                    <w:rPr>
                      <w:spacing w:val="-2"/>
                      <w:sz w:val="18"/>
                      <w:szCs w:val="18"/>
                    </w:rPr>
                  </w:pPr>
                  <w:r>
                    <w:rPr>
                      <w:spacing w:val="-2"/>
                      <w:sz w:val="18"/>
                      <w:szCs w:val="18"/>
                    </w:rPr>
                    <w:t>190,0</w:t>
                  </w:r>
                </w:p>
              </w:tc>
            </w:tr>
          </w:tbl>
          <w:p w:rsidR="00261CB4" w:rsidRDefault="00261CB4"/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261CB4">
            <w:pPr>
              <w:tabs>
                <w:tab w:val="right" w:leader="dot" w:pos="9345"/>
              </w:tabs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</w:tc>
      </w:tr>
      <w:tr w:rsidR="00261CB4">
        <w:tc>
          <w:tcPr>
            <w:tcW w:w="2292" w:type="dxa"/>
          </w:tcPr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ПКН-2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Способность применять продвинутые современные инструменты и методы анализа финансово-кредитной сферы, финансов государственного и негосударственного секторов экономики для целей эффективного управления финансовыми </w:t>
            </w:r>
            <w:r>
              <w:lastRenderedPageBreak/>
              <w:t xml:space="preserve">ресурсами, решения проектно-экономических задач, в том числе в условиях цифровой экономики и развития </w:t>
            </w:r>
            <w:proofErr w:type="spellStart"/>
            <w:r>
              <w:t>Финтеха</w:t>
            </w:r>
            <w:proofErr w:type="spellEnd"/>
            <w:r>
              <w:t>, разработки механизмов монетарного и финансового регулирования, как на уровне отдельных организаций и институтов финансового рынка, так и на уровне публично-правовых образований</w:t>
            </w:r>
          </w:p>
        </w:tc>
        <w:tc>
          <w:tcPr>
            <w:tcW w:w="2730" w:type="dxa"/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1. Владеет современными инструментами и методами анализа и регулирования финансов государственного и негосударственного секторов экономики, деятельности институтов финансов-кредитной сферы.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Демонстрирует способность решения проектно-экономических задач в профессиональной деятельности.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3. Демонстрирует освоение инструментов </w:t>
            </w:r>
            <w:proofErr w:type="spellStart"/>
            <w:r>
              <w:rPr>
                <w:bCs/>
              </w:rPr>
              <w:t>Финтеха</w:t>
            </w:r>
            <w:proofErr w:type="spellEnd"/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4. Владеет методами анализа </w:t>
            </w:r>
            <w:r>
              <w:rPr>
                <w:lang w:val="en-US"/>
              </w:rPr>
              <w:t>Big</w:t>
            </w:r>
            <w:r>
              <w:t xml:space="preserve"> </w:t>
            </w:r>
            <w:r>
              <w:rPr>
                <w:lang w:val="en-US"/>
              </w:rPr>
              <w:t>Data</w:t>
            </w:r>
            <w:r>
              <w:t>, использует для решения профессиональных задач на микро-, мезо- и макроуровнях, в т.ч. на уровне финансового рынка</w:t>
            </w:r>
          </w:p>
        </w:tc>
        <w:tc>
          <w:tcPr>
            <w:tcW w:w="2798" w:type="dxa"/>
          </w:tcPr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1.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и методы анализа и оценки финансового состояния коммерческого банка;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- возможности приложений для командной работы над проектами (</w:t>
            </w:r>
            <w:proofErr w:type="spellStart"/>
            <w:r>
              <w:rPr>
                <w:bCs/>
              </w:rPr>
              <w:t>YouGile</w:t>
            </w:r>
            <w:proofErr w:type="spellEnd"/>
            <w:r>
              <w:rPr>
                <w:bCs/>
              </w:rPr>
              <w:t>, Яндекс Документы);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правильно интерпретировать значения рассчитанных показателей, оценивать их взаимную связь;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2.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сходства и различия российских и зарубежных методик оценки перспективной финансовой устойчивости коммерческих банков,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представлять результаты оценки финансовой устойчивости банков различным категориям пользователей (руководству банка, инвесторам, органам надзора) с применением традиционных программ и современных приложений для бизнес-аналитики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Desktop</w:t>
            </w:r>
            <w:proofErr w:type="spellEnd"/>
            <w:r>
              <w:rPr>
                <w:bCs/>
              </w:rPr>
              <w:t>).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3.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 основы применения современных цифровых технологий для проведения оценки финансовой устойчивости банков;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использовать современные цифровые технологии для решения задач в области оценки уровня финансовой устойчивости банка;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4.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основные направления применения технологий больших данных и искусственного интеллекта для оценки финансовой устойчивости банков,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- источники больших данных о финансовом и </w:t>
            </w:r>
            <w:r>
              <w:rPr>
                <w:bCs/>
              </w:rPr>
              <w:lastRenderedPageBreak/>
              <w:t>рыночном положении банка (analizbankov.ru, cbr.ru);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анализировать данные о финансовом состоянии банка для определения перспектив его развития;</w:t>
            </w:r>
          </w:p>
        </w:tc>
        <w:tc>
          <w:tcPr>
            <w:tcW w:w="7262" w:type="dxa"/>
          </w:tcPr>
          <w:p w:rsidR="00261CB4" w:rsidRDefault="00261CB4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left" w:pos="540"/>
              </w:tabs>
              <w:ind w:firstLine="318"/>
              <w:contextualSpacing/>
              <w:jc w:val="both"/>
            </w:pPr>
            <w:r>
              <w:rPr>
                <w:bCs/>
              </w:rPr>
              <w:t>Используя имеющиеся данные, проведите оценку качества активов и кредитного портфеля крупного универсального банка.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оценить темпы роста активов и соответствие их структуры структуре пассивов (с помощью соотношений кредитов и депозитов, МБК выданных и МБК полученных, иммобилизованных активов и собственных средств и др.);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рассчитать долю работающих активов (таблица 3), а также показатели рискованности кредитного портфеля (таблицы 2 и 3);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оценить уровень диверсификации кредитного портфеля; (таблица 1)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выводы по результатам проведенного анализа качества активов.</w:t>
            </w:r>
          </w:p>
          <w:p w:rsidR="00261CB4" w:rsidRDefault="00E82DCD">
            <w:pPr>
              <w:tabs>
                <w:tab w:val="left" w:pos="540"/>
              </w:tabs>
              <w:ind w:firstLine="601"/>
              <w:contextualSpacing/>
              <w:jc w:val="both"/>
            </w:pPr>
            <w:r>
              <w:rPr>
                <w:bCs/>
              </w:rPr>
              <w:t xml:space="preserve">Основной капитал (I уровня) банка на 31.12.2015 составляет 151 млрд руб. По данным управленческой отчетности связанным </w:t>
            </w:r>
            <w:r>
              <w:rPr>
                <w:bCs/>
              </w:rPr>
              <w:lastRenderedPageBreak/>
              <w:t>сторонам выданы кредиты на общую сумму 170 млрд руб. (по состоянию на 31.12.2015).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Таблица 1.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Отраслевая структура корпоративных кредитов, на конец года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736"/>
              <w:gridCol w:w="2837"/>
              <w:gridCol w:w="707"/>
              <w:gridCol w:w="710"/>
              <w:gridCol w:w="839"/>
            </w:tblGrid>
            <w:tr w:rsidR="00261CB4">
              <w:tc>
                <w:tcPr>
                  <w:tcW w:w="736" w:type="dxa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837" w:type="dxa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Торговля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70,4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114,3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12,2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19,1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63,7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Операции с недвижимым имуществом, аренда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11,1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15,1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47,8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25,0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30,0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45,0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8,5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9,6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28,8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28,6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4,4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16,5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8,4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Электроэнергетика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0,0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0,1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2,5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57,8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92,4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136,8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Требования по операциям РЕПО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8,2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12,1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201,0</w:t>
                  </w:r>
                </w:p>
              </w:tc>
            </w:tr>
            <w:tr w:rsidR="00261CB4">
              <w:tc>
                <w:tcPr>
                  <w:tcW w:w="736" w:type="dxa"/>
                  <w:vAlign w:val="center"/>
                </w:tcPr>
                <w:p w:rsidR="00261CB4" w:rsidRDefault="00261CB4">
                  <w:pPr>
                    <w:jc w:val="center"/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837" w:type="dxa"/>
                  <w:vAlign w:val="center"/>
                </w:tcPr>
                <w:p w:rsidR="00261CB4" w:rsidRDefault="00E82DC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корпоративные кредиты</w:t>
                  </w:r>
                </w:p>
              </w:tc>
              <w:tc>
                <w:tcPr>
                  <w:tcW w:w="707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207,7</w:t>
                  </w:r>
                </w:p>
              </w:tc>
              <w:tc>
                <w:tcPr>
                  <w:tcW w:w="710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260,8</w:t>
                  </w:r>
                </w:p>
              </w:tc>
              <w:tc>
                <w:tcPr>
                  <w:tcW w:w="839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693,2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Таблица 2.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Динамика просроченной задолженности и РВПС, на конец года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6020" w:type="dxa"/>
              <w:tblLayout w:type="fixed"/>
              <w:tblLook w:val="04A0" w:firstRow="1" w:lastRow="0" w:firstColumn="1" w:lastColumn="0" w:noHBand="0" w:noVBand="1"/>
            </w:tblPr>
            <w:tblGrid>
              <w:gridCol w:w="454"/>
              <w:gridCol w:w="1611"/>
              <w:gridCol w:w="1133"/>
              <w:gridCol w:w="708"/>
              <w:gridCol w:w="708"/>
              <w:gridCol w:w="709"/>
              <w:gridCol w:w="697"/>
            </w:tblGrid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611" w:type="dxa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Cs/>
                      <w:color w:val="000000"/>
                      <w:sz w:val="18"/>
                      <w:szCs w:val="18"/>
                    </w:rPr>
                    <w:t>РВПС и просроченная задолженность</w:t>
                  </w:r>
                </w:p>
              </w:tc>
              <w:tc>
                <w:tcPr>
                  <w:tcW w:w="1133" w:type="dxa"/>
                  <w:vAlign w:val="bottom"/>
                </w:tcPr>
                <w:p w:rsidR="00261CB4" w:rsidRDefault="00261CB4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2012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2013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2015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1.</w:t>
                  </w:r>
                </w:p>
              </w:tc>
              <w:tc>
                <w:tcPr>
                  <w:tcW w:w="5566" w:type="dxa"/>
                  <w:gridSpan w:val="6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Корпоративный портфель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1,2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4,3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27,7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 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0,5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0,9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 3,2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23,4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2.</w:t>
                  </w: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Розничный портфель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3,4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7,9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14,1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16,7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2,0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3,8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8,5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sz w:val="18"/>
                      <w:szCs w:val="18"/>
                    </w:rPr>
                    <w:t>10,2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566" w:type="dxa"/>
                  <w:gridSpan w:val="6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color w:val="000000"/>
                      <w:sz w:val="18"/>
                      <w:szCs w:val="18"/>
                    </w:rPr>
                    <w:t>Итого по кредитному портфелю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просроченная задолженность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3,9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9,0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18,4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44,4</w:t>
                  </w:r>
                </w:p>
              </w:tc>
            </w:tr>
            <w:tr w:rsidR="00261CB4">
              <w:tc>
                <w:tcPr>
                  <w:tcW w:w="453" w:type="dxa"/>
                  <w:vAlign w:val="bottom"/>
                </w:tcPr>
                <w:p w:rsidR="00261CB4" w:rsidRDefault="00261CB4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2744" w:type="dxa"/>
                  <w:gridSpan w:val="2"/>
                  <w:vAlign w:val="bottom"/>
                </w:tcPr>
                <w:p w:rsidR="00261CB4" w:rsidRDefault="00E82DCD">
                  <w:pP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color w:val="000000"/>
                      <w:sz w:val="18"/>
                      <w:szCs w:val="18"/>
                    </w:rPr>
                    <w:t>РВПС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2,4</w:t>
                  </w:r>
                </w:p>
              </w:tc>
              <w:tc>
                <w:tcPr>
                  <w:tcW w:w="70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4,7</w:t>
                  </w:r>
                </w:p>
              </w:tc>
              <w:tc>
                <w:tcPr>
                  <w:tcW w:w="709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11,7</w:t>
                  </w:r>
                </w:p>
              </w:tc>
              <w:tc>
                <w:tcPr>
                  <w:tcW w:w="697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eastAsia="Times New Roman"/>
                      <w:b/>
                      <w:bCs/>
                      <w:sz w:val="18"/>
                      <w:szCs w:val="18"/>
                    </w:rPr>
                    <w:t>33,6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  <w:rPr>
                <w:sz w:val="18"/>
                <w:szCs w:val="18"/>
              </w:rPr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lastRenderedPageBreak/>
              <w:t>Таблица 3.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Данные баланса банка, на конец года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667125" cy="4648200"/>
                  <wp:effectExtent l="0" t="0" r="0" b="0"/>
                  <wp:docPr id="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t="2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464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61CB4" w:rsidRDefault="00E82DCD">
            <w:pPr>
              <w:tabs>
                <w:tab w:val="left" w:pos="1080"/>
              </w:tabs>
              <w:ind w:firstLine="318"/>
              <w:contextualSpacing/>
              <w:jc w:val="both"/>
            </w:pPr>
            <w:r>
              <w:rPr>
                <w:bCs/>
              </w:rPr>
              <w:lastRenderedPageBreak/>
              <w:t>Используя имеющиеся данные, проведите оценку качества привлеченных и заемных средств крупного универсального банка.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1. оценить степень диверсификации обязательств банка (по источникам привлечения ресурсов, по отраслевой принадлежности клиентов, по доли крупнейших кредиторов) (таблицы 1 и 2);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2. оценить зависимость от фондирования ресурсами Банка России и ресурсами связанных лиц (с помощью показателей доли этих ресурсов в структуре пассивов или обязательств банка);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3. написать выводы по результатам проведенного анализа качества ресурсной базы.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По состоянию на 31.12.2016 на крупнейшего кредитора банка приходится 10% пассивов банка, а на 10 крупнейших групп кредиторов – 40% пассивов банка.</w:t>
            </w:r>
          </w:p>
          <w:p w:rsidR="00261CB4" w:rsidRDefault="00E82DCD">
            <w:pPr>
              <w:tabs>
                <w:tab w:val="left" w:pos="1080"/>
              </w:tabs>
              <w:ind w:firstLine="459"/>
              <w:contextualSpacing/>
              <w:jc w:val="both"/>
            </w:pPr>
            <w:r>
              <w:rPr>
                <w:bCs/>
              </w:rPr>
              <w:t>В составе средств юридических лиц 1 301 млрд руб. приходится на связанные лица (в т.ч. 441 млрд руб. – на еврооблигации и субординированные облигации, выпущенные компаниями Группы, в которую входит банк). Банк регулярно отслеживает риски привлечения ресурсов от связанных лиц. По состоянию на дату анализу их можно оценить как низкие.</w:t>
            </w:r>
          </w:p>
          <w:p w:rsidR="00261CB4" w:rsidRDefault="00261CB4">
            <w:pPr>
              <w:tabs>
                <w:tab w:val="left" w:pos="108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1080"/>
              </w:tabs>
              <w:contextualSpacing/>
              <w:jc w:val="both"/>
            </w:pPr>
            <w:r>
              <w:rPr>
                <w:bCs/>
              </w:rPr>
              <w:t>Таблица 1. Отраслевая структура средств клиентов, на конец года</w:t>
            </w:r>
          </w:p>
          <w:p w:rsidR="00261CB4" w:rsidRDefault="00E82DCD">
            <w:pPr>
              <w:tabs>
                <w:tab w:val="left" w:pos="1080"/>
              </w:tabs>
              <w:contextualSpacing/>
              <w:jc w:val="right"/>
            </w:pPr>
            <w:r>
              <w:rPr>
                <w:bCs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2834"/>
              <w:gridCol w:w="851"/>
              <w:gridCol w:w="851"/>
              <w:gridCol w:w="698"/>
            </w:tblGrid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Отрасль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2014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2015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2016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Финансовая деятельность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1 010,1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1 118,2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971,0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Оптовая и розничная торговля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640,4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562,3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544,2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Добыча полезных ископаемых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601,1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640,8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378,5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Операции с недвижимым имуществом, аренда и предоставление услуг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160,9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252,1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292,1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Обрабатывающие производства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128,6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196,4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175,6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Транспорт и связь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89,3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134,9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164,3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Производство и распределение электроэнергии, газа и воды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102,8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107,1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127,4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Строительство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59,3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59,7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122,2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lastRenderedPageBreak/>
                    <w:t>9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Сельское хозяйство, охота и лесное хозяйство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5,3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3,7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11,9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Прочие виды деятельности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94,5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107,1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268,7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</w:t>
                  </w: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Средства клиентов физических лиц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469,7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631,1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646,7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2834" w:type="dxa"/>
                  <w:vAlign w:val="center"/>
                </w:tcPr>
                <w:p w:rsidR="00261CB4" w:rsidRDefault="00E82DC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Итого средства клиентов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3 362,1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3 813,4</w:t>
                  </w:r>
                </w:p>
              </w:tc>
              <w:tc>
                <w:tcPr>
                  <w:tcW w:w="698" w:type="dxa"/>
                  <w:vAlign w:val="center"/>
                </w:tcPr>
                <w:p w:rsidR="00261CB4" w:rsidRDefault="00E82DCD">
                  <w:pPr>
                    <w:jc w:val="right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3 702,6</w:t>
                  </w:r>
                </w:p>
              </w:tc>
            </w:tr>
          </w:tbl>
          <w:p w:rsidR="00261CB4" w:rsidRDefault="00261CB4">
            <w:pPr>
              <w:tabs>
                <w:tab w:val="left" w:pos="1080"/>
              </w:tabs>
              <w:contextualSpacing/>
              <w:jc w:val="right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2. Данные баланса банка, на конец года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642995" cy="4343400"/>
                  <wp:effectExtent l="0" t="0" r="0" b="0"/>
                  <wp:docPr id="10" name="Изображение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995" cy="434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648710" cy="454025"/>
                  <wp:effectExtent l="0" t="0" r="0" b="0"/>
                  <wp:docPr id="1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710" cy="45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По данным таблицы 1 необходимо проанализировать состояние ликвидности Группы «Сбербанк» на основе метода матриц. По результатам требуется подготовить краткую аналитическую записку с выводами.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1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Временная структура баланса группы «Сбербанк»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050540" cy="3314065"/>
                  <wp:effectExtent l="0" t="0" r="0" b="0"/>
                  <wp:docPr id="1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0540" cy="3314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3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1. Обоснуйте и сформируйте выбору сопоставимых с ПАО МКБ банков (не менее 4) с помощью портала банковского аналитика analizbankov.ru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2. Соберите информацию из открытых источников структурированных данных для анализа структуры и качества собственного капитала выбранных банков (analizbankov.ru, cbr.ru)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Проведите копирование данных в табличный редактор.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Проведите сравнительный анализ структуры капитала и показателей качества капитала (не менее 5, в т.ч. КУГК).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5. Разработайте интерактивную панель для визуализации результатов анализа: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3-х диаграмм,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2-х таблиц,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2-х переключателей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средствами приложений для бизнес-аналитики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</w:t>
            </w:r>
            <w:proofErr w:type="spellEnd"/>
            <w:r>
              <w:rPr>
                <w:bCs/>
                <w:lang w:val="en-US"/>
              </w:rPr>
              <w:t>p</w:t>
            </w:r>
            <w:r>
              <w:rPr>
                <w:bCs/>
              </w:rPr>
              <w:t>.</w:t>
            </w:r>
          </w:p>
          <w:p w:rsidR="00261CB4" w:rsidRDefault="00261CB4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rPr>
                <w:b/>
                <w:bCs/>
                <w:color w:val="00B050"/>
              </w:rPr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Проект «</w:t>
            </w:r>
            <w:proofErr w:type="spellStart"/>
            <w:r>
              <w:rPr>
                <w:bCs/>
              </w:rPr>
              <w:t>Маркетплейс</w:t>
            </w:r>
            <w:proofErr w:type="spellEnd"/>
            <w:r>
              <w:rPr>
                <w:bCs/>
              </w:rPr>
              <w:t>» Банка России предполагает существенное изменение ландшафта рынка банковских продуктов и услуг: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781300"/>
                  <wp:effectExtent l="0" t="0" r="0" b="0"/>
                  <wp:docPr id="13" name="Изображение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781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705225" cy="2038350"/>
                  <wp:effectExtent l="0" t="0" r="0" b="0"/>
                  <wp:docPr id="14" name="Изображение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noProof/>
              </w:rPr>
              <w:lastRenderedPageBreak/>
              <w:drawing>
                <wp:inline distT="0" distB="0" distL="0" distR="0">
                  <wp:extent cx="3705225" cy="2085975"/>
                  <wp:effectExtent l="0" t="0" r="0" b="0"/>
                  <wp:docPr id="1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1. Как внедрение проекта изменит состав и структуру ресурсной базы банков? Какое влияние такие изменения могут оказать на уровень их финансовой устойчивости?</w:t>
            </w:r>
          </w:p>
          <w:p w:rsidR="00261CB4" w:rsidRDefault="00E82DCD">
            <w:pPr>
              <w:tabs>
                <w:tab w:val="right" w:leader="dot" w:pos="9345"/>
              </w:tabs>
              <w:contextualSpacing/>
              <w:jc w:val="both"/>
            </w:pPr>
            <w:r>
              <w:rPr>
                <w:bCs/>
              </w:rPr>
              <w:t>2. Какие банки в большей степени испытают влияние от запуска данного проекта с точки зрения обеспечения их финансовой устойчивости?</w:t>
            </w:r>
          </w:p>
          <w:p w:rsidR="00261CB4" w:rsidRDefault="00261CB4">
            <w:pPr>
              <w:tabs>
                <w:tab w:val="right" w:leader="dot" w:pos="9345"/>
              </w:tabs>
              <w:contextualSpacing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Эксперты указали банкам на необходимость цифровизации бизнеса за 2-3 года. По прогнозам консалтинговой компании </w:t>
            </w:r>
            <w:proofErr w:type="spellStart"/>
            <w:r>
              <w:rPr>
                <w:bCs/>
              </w:rPr>
              <w:t>Boston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Consulting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Group</w:t>
            </w:r>
            <w:proofErr w:type="spellEnd"/>
            <w:r>
              <w:rPr>
                <w:bCs/>
              </w:rPr>
              <w:t xml:space="preserve"> (BCG), в ближайшие пять лет 30% выручки в мировом традиционном корпоративном банкинге будет получено исключительно через цифровые каналы. При этом у корпоративных банков есть два-три года для того, чтобы провести комплексную цифровую трансформацию, и российские банки с этой точки зрения не отстают от своих западных коллег, а в ряде направлений вовсе являются пионерами, следует из нового отчета BCG «Мировой </w:t>
            </w:r>
            <w:r>
              <w:rPr>
                <w:bCs/>
              </w:rPr>
              <w:lastRenderedPageBreak/>
              <w:t xml:space="preserve">корпоративный банковский бизнес: как достичь успеха с помощью цифровизации» (есть в распоряжении РБК). Партнер и управляющий директор </w:t>
            </w:r>
            <w:proofErr w:type="spellStart"/>
            <w:r>
              <w:rPr>
                <w:bCs/>
              </w:rPr>
              <w:t>Boston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Consulting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Group</w:t>
            </w:r>
            <w:proofErr w:type="spellEnd"/>
            <w:r>
              <w:rPr>
                <w:bCs/>
              </w:rPr>
              <w:t xml:space="preserve"> Дмитрий Ангаров указывает на два основных пути цифровизации банков. Первый путь — трансформация существующей архитектуры (ядра), что, в зависимости от состояния действующих систем, может стать длительным, трудоемким и затратным процессом. Альтернативный сценарий предусматривает создание цифрового банка в отдельном технологическом контуре, но на балансе основного банка (по аналогии модели «</w:t>
            </w:r>
            <w:proofErr w:type="spellStart"/>
            <w:r>
              <w:rPr>
                <w:bCs/>
              </w:rPr>
              <w:t>bank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as</w:t>
            </w:r>
            <w:proofErr w:type="spellEnd"/>
            <w:r>
              <w:rPr>
                <w:bCs/>
              </w:rPr>
              <w:t xml:space="preserve"> a </w:t>
            </w:r>
            <w:proofErr w:type="spellStart"/>
            <w:r>
              <w:rPr>
                <w:bCs/>
              </w:rPr>
              <w:t>service</w:t>
            </w:r>
            <w:proofErr w:type="spellEnd"/>
            <w:r>
              <w:rPr>
                <w:bCs/>
              </w:rPr>
              <w:t xml:space="preserve">» — «банк как сервис»). «Преимущества этого подхода с точки зрения скорости очевидны, но в этом случае всегда возникает вопрос интеграции с существующими системами банка», — поясняет Ангаров. Проведенный BCG опрос на тему цифровизации среди руководителей в корпоративном банковском секторе показал, что, по мнению подавляющего большинства респондентов (86%), цифровизация изменит как конкурентную среду, так и экономику их банков. При этом менее половины опрошенных (43%) сообщили, что у них есть четкая стратегия цифровизации. Аналитики BCG выделяют три наиболее эффективных направления цифровой трансформации для корпоративных банков. Во-первых, это цифровизация всего взаимодействия клиента и банка, что принесет выгоду как с точки зрения удовлетворенности клиентов, так и с точки зрения затрат на внутренние процессы. Второе направление предполагает использование цифровых инструментов для поддержки продаж, таких как удаленный интерфейс клиентского менеджера, динамическое ценообразование, использование искусственного интеллекта для цифровизации рутинных операций и другие. Наконец, банкам необходимо выстроить систему управления большими данными и адаптировать к новым требованиям IT-архитектуру. Сегодня доходность корпоративного бизнеса в России во всех клиентских сегментах находится под давлением, полагает Дмитрий Ангаров. По его словам, российским банкам, </w:t>
            </w:r>
            <w:proofErr w:type="gramStart"/>
            <w:r>
              <w:rPr>
                <w:bCs/>
              </w:rPr>
              <w:t>также</w:t>
            </w:r>
            <w:proofErr w:type="gramEnd"/>
            <w:r>
              <w:rPr>
                <w:bCs/>
              </w:rPr>
              <w:t xml:space="preserve"> как и их иностранным </w:t>
            </w:r>
            <w:r>
              <w:rPr>
                <w:bCs/>
              </w:rPr>
              <w:lastRenderedPageBreak/>
              <w:t>коллегам, достаточно трудно показывать приемлемую норму доходности без радикальных изменений бизнес-модели, так как классические методы повышения рентабельности бизнеса зачастую уже испробованы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  <w:u w:val="single"/>
              </w:rPr>
              <w:t>Вопросы к заданию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1. Какие цифровые операции банки могут предложить крупному корпоративному бизнесу? Как это отразиться на доходности и рентабельности банков?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2. Как систему управления большими данными (</w:t>
            </w:r>
            <w:r>
              <w:rPr>
                <w:bCs/>
                <w:lang w:val="en-US"/>
              </w:rPr>
              <w:t>Big</w:t>
            </w:r>
            <w:r>
              <w:rPr>
                <w:bCs/>
              </w:rPr>
              <w:t xml:space="preserve"> </w:t>
            </w:r>
            <w:r>
              <w:rPr>
                <w:bCs/>
                <w:lang w:val="en-US"/>
              </w:rPr>
              <w:t>Data</w:t>
            </w:r>
            <w:r>
              <w:rPr>
                <w:bCs/>
              </w:rPr>
              <w:t>) можно применять в обслуживании корпоративных клиентов? Какое влияние это может оказать на рентабельность банков и уровень их финансовой устойчивости?</w:t>
            </w:r>
          </w:p>
          <w:p w:rsidR="00261CB4" w:rsidRDefault="00261CB4">
            <w:pPr>
              <w:tabs>
                <w:tab w:val="right" w:leader="dot" w:pos="9345"/>
              </w:tabs>
              <w:ind w:firstLine="317"/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Соберите информацию из открытых источников структурированных данных для анализа структуры и качества собственного капитала ПАО МКБ за 5 лет (квартальные даты):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состав и структура капитала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нормативы достаточности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структура совокупного риска (риск-взвешенных активов)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 xml:space="preserve"> - коэффициент усредненной генерации капитала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- источники прироста капитала.</w:t>
            </w:r>
          </w:p>
          <w:p w:rsidR="00261CB4" w:rsidRDefault="00E82DCD">
            <w:pPr>
              <w:tabs>
                <w:tab w:val="right" w:leader="dot" w:pos="9345"/>
              </w:tabs>
              <w:ind w:firstLine="317"/>
              <w:jc w:val="both"/>
            </w:pPr>
            <w:r>
              <w:rPr>
                <w:bCs/>
              </w:rPr>
              <w:t>Проанализируйте собранные данные с помощью приложения для бизнес-анализа (</w:t>
            </w:r>
            <w:proofErr w:type="spellStart"/>
            <w:r>
              <w:rPr>
                <w:bCs/>
              </w:rPr>
              <w:t>Yandex</w:t>
            </w:r>
            <w:proofErr w:type="spellEnd"/>
            <w:r>
              <w:rPr>
                <w:bCs/>
              </w:rPr>
              <w:t xml:space="preserve"> </w:t>
            </w:r>
            <w:proofErr w:type="spellStart"/>
            <w:r>
              <w:rPr>
                <w:bCs/>
              </w:rPr>
              <w:t>DataLens</w:t>
            </w:r>
            <w:proofErr w:type="spellEnd"/>
            <w:r>
              <w:rPr>
                <w:bCs/>
              </w:rPr>
              <w:t xml:space="preserve">, </w:t>
            </w:r>
            <w:proofErr w:type="spellStart"/>
            <w:r>
              <w:rPr>
                <w:bCs/>
              </w:rPr>
              <w:t>Power</w:t>
            </w:r>
            <w:proofErr w:type="spellEnd"/>
            <w:r>
              <w:rPr>
                <w:bCs/>
              </w:rPr>
              <w:t xml:space="preserve"> BI </w:t>
            </w:r>
            <w:proofErr w:type="spellStart"/>
            <w:r>
              <w:rPr>
                <w:bCs/>
              </w:rPr>
              <w:t>Desktop</w:t>
            </w:r>
            <w:proofErr w:type="spellEnd"/>
            <w:r>
              <w:rPr>
                <w:bCs/>
              </w:rPr>
              <w:t>), результаты представьте в виде интерактивных панелей: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3-х диаграмм,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- не менее 2-х таблиц.</w:t>
            </w:r>
          </w:p>
          <w:p w:rsidR="00261CB4" w:rsidRDefault="00E82DCD">
            <w:pPr>
              <w:tabs>
                <w:tab w:val="right" w:leader="dot" w:pos="9345"/>
              </w:tabs>
            </w:pPr>
            <w:r>
              <w:rPr>
                <w:bCs/>
              </w:rPr>
              <w:t>Составьте мотивированное заключение</w:t>
            </w:r>
          </w:p>
        </w:tc>
      </w:tr>
      <w:tr w:rsidR="00261CB4">
        <w:tc>
          <w:tcPr>
            <w:tcW w:w="2292" w:type="dxa"/>
          </w:tcPr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ПКН-3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Способность проводить анализ, обобщать и </w:t>
            </w:r>
            <w:r>
              <w:lastRenderedPageBreak/>
              <w:t>критически оценивать полученные результаты исследования для разработки финансовых аспектов перспективных направлений инновационного развития, минимизации рисков, достижения финансовой устойчивости организаций (включая финансово-кредитные организации), долгосрочной устойчивости бюджетной системы, составления финансовых обзоров, экспертно-аналитических заключений, отчетов и  научных публикаций в области финансов и кредита</w:t>
            </w:r>
          </w:p>
        </w:tc>
        <w:tc>
          <w:tcPr>
            <w:tcW w:w="2730" w:type="dxa"/>
          </w:tcPr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 xml:space="preserve">1. Владеет методами прикладных научных исследований в профессиональной </w:t>
            </w:r>
            <w:r>
              <w:rPr>
                <w:bCs/>
              </w:rPr>
              <w:lastRenderedPageBreak/>
              <w:t>сфере.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2. Применяет современные методы анализа и оценки рисков деятельности организаций (включая финансово-кредитные организации), бюджетных рисков и предлагает решения по их минимизации в контексте достижения финансовой </w:t>
            </w:r>
            <w:r>
              <w:rPr>
                <w:bCs/>
              </w:rPr>
              <w:lastRenderedPageBreak/>
              <w:t>стабильности и долгосрочной устойчивости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Разрабатывает направления инновационного развития как организаций (включая финансово-кредитные организации), отдельных продуктов и услуг, так и публично-правовых образований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>4. Оформляет результаты анализа и оценки в форме финансовых обзоров, экспертно-аналитических заключений, отчетов и научных публикаций.</w:t>
            </w:r>
          </w:p>
        </w:tc>
        <w:tc>
          <w:tcPr>
            <w:tcW w:w="2798" w:type="dxa"/>
          </w:tcPr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1.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 xml:space="preserve">: - сходства и различия российских и зарубежных методик </w:t>
            </w:r>
            <w:r>
              <w:rPr>
                <w:bCs/>
              </w:rPr>
              <w:lastRenderedPageBreak/>
              <w:t>оценки перспективной финансовой устойчивости коммерческих банков;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находить и обобщать информацию, необходимую для проведения анализа и оценки финансового состояния коммерческого банка;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2.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особенности российских и зарубежных моделей оценки финансовой устойчивости банков, применяемых органами банковского надзора,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 xml:space="preserve">: - проводить комплексный анализ и интерпретацию финансовой, бухгалтерской и иной информации для оценки </w:t>
            </w:r>
            <w:r>
              <w:rPr>
                <w:bCs/>
              </w:rPr>
              <w:lastRenderedPageBreak/>
              <w:t>перспектив деятельности кредитной организации.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lastRenderedPageBreak/>
              <w:t>3.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деятельности;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 xml:space="preserve"> </w:t>
            </w:r>
            <w:r>
              <w:rPr>
                <w:bCs/>
                <w:i/>
              </w:rPr>
              <w:t>уметь</w:t>
            </w:r>
            <w:r>
              <w:rPr>
                <w:bCs/>
              </w:rPr>
              <w:t>: - прогнозировать уровень финансовой устойчивости коммерческого банка на различных горизонтах планирования;</w:t>
            </w: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</w:pP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</w:rPr>
              <w:t>4.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</w:pPr>
            <w:r>
              <w:rPr>
                <w:bCs/>
                <w:i/>
              </w:rPr>
              <w:t>знать</w:t>
            </w:r>
            <w:r>
              <w:rPr>
                <w:bCs/>
              </w:rPr>
              <w:t>: - теоретические, методологические и организационные подходы к оценке финансовой устойчивости коммерческого банка и перспектив его деятельности,</w:t>
            </w:r>
          </w:p>
          <w:p w:rsidR="00261CB4" w:rsidRDefault="00E82DCD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  <w:r>
              <w:t xml:space="preserve"> </w:t>
            </w:r>
            <w:r>
              <w:rPr>
                <w:i/>
              </w:rPr>
              <w:t>уметь</w:t>
            </w:r>
            <w:r>
              <w:t>: - составлять мотивированные заключения и аналитические записки о различных сторонах деятельности банка.</w:t>
            </w:r>
          </w:p>
        </w:tc>
        <w:tc>
          <w:tcPr>
            <w:tcW w:w="7262" w:type="dxa"/>
          </w:tcPr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lastRenderedPageBreak/>
              <w:t>Задание 1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По данным таблицы 1 оцените, используя метод «чистых ликвидных активов», ликвидность Группы "Сбербанк" для временного интервала до 30 дней. Сформулируйте выводы и дайте </w:t>
            </w:r>
            <w:r>
              <w:rPr>
                <w:bCs/>
              </w:rPr>
              <w:lastRenderedPageBreak/>
              <w:t>оценку полученным результатам.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В учебных целях будем считать, что доля нестабильной (летучей) части в составе депозитов до востребования составляет 15%.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Остатки на счетах до </w:t>
            </w:r>
            <w:proofErr w:type="spellStart"/>
            <w:r>
              <w:rPr>
                <w:bCs/>
              </w:rPr>
              <w:t>востреб</w:t>
            </w:r>
            <w:proofErr w:type="spellEnd"/>
            <w:r>
              <w:rPr>
                <w:bCs/>
              </w:rPr>
              <w:t>. составляют 3 844,9 млрд руб., в т.ч.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банков – 138,7 млрд руб.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физических лиц – 1 886,2 млрд руб.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Средства корпоративных клиентов – 1 820,0 млрд руб.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Согласно расшифровке, в структуре инвестиционных ценных бумаг, удерживаемых до погашения (117,9 млрд руб.), 75,2 млрд руб. приходится на государственные облигации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</w:rPr>
              <w:t>Таблица 1.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Временная структура баланса группы «Сбербанк», млрд руб.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  <w:noProof/>
              </w:rPr>
              <w:drawing>
                <wp:inline distT="0" distB="0" distL="0" distR="0">
                  <wp:extent cx="3103880" cy="3372485"/>
                  <wp:effectExtent l="0" t="0" r="0" b="0"/>
                  <wp:docPr id="1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880" cy="337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Исходя из представленных данных об элементах собственного (регуляторного) капитала, необходимо: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указать элементы основного и дополнительного капитала;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определить величину базового, добавочного, основного, дополнительного и собственного капитала банка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515" w:type="dxa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793"/>
              <w:gridCol w:w="3743"/>
              <w:gridCol w:w="979"/>
            </w:tblGrid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Компонент для расчета капитала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Сумма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Уставный капитал (обыкновенные акции)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258 000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Эмиссионный доход, сформированный при размещении обыкновенных акций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53 500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Часть резервного фонда (за счет прибыли предшествующих лет,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14 300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Нераспределенная прибыль предшествующих лет (подтверждена аудитором)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1 820 000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Нематериальные активы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1 100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Субординированный заем с дополнительными условиями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80 000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Прибыль текущего года (ее часть), не подтвержденная аудиторской организацией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410 000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500 000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Прирост стоимости имущества кредитной организации за счет переоценки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40 500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Просроченная дебиторская задолженность длительностью свыше 30 календарных дней, учитываемая на балансовых счетах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20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2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Исходя из представленных данных, необходимо: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определить величину базового, добавочного, основного, дополнительного и собственного капитала банка;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−</w:t>
            </w:r>
            <w:r>
              <w:rPr>
                <w:bCs/>
              </w:rPr>
              <w:tab/>
              <w:t>вычислить значения нормативов достаточности базового, основного и собственного капитала, а также определить их соответствие требуемым минимальным значениям (Инструкция Банка России № 180-И от 28.06.2017)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  <w:sz w:val="20"/>
                <w:szCs w:val="20"/>
              </w:rPr>
              <w:t>млрд руб</w:t>
            </w:r>
            <w:r>
              <w:rPr>
                <w:bCs/>
              </w:rPr>
              <w:t>.</w:t>
            </w:r>
          </w:p>
          <w:tbl>
            <w:tblPr>
              <w:tblW w:w="5515" w:type="dxa"/>
              <w:tblInd w:w="171" w:type="dxa"/>
              <w:tblLayout w:type="fixed"/>
              <w:tblLook w:val="04A0" w:firstRow="1" w:lastRow="0" w:firstColumn="1" w:lastColumn="0" w:noHBand="0" w:noVBand="1"/>
            </w:tblPr>
            <w:tblGrid>
              <w:gridCol w:w="793"/>
              <w:gridCol w:w="3743"/>
              <w:gridCol w:w="979"/>
            </w:tblGrid>
            <w:tr w:rsidR="00261CB4">
              <w:tc>
                <w:tcPr>
                  <w:tcW w:w="793" w:type="dxa"/>
                </w:tcPr>
                <w:p w:rsidR="00261CB4" w:rsidRDefault="00E82DCD">
                  <w:pPr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Компонент для расчета капитала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Сумма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Уставный капитал (обыкновенные акции)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590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Эмиссионный доход, сформированный при размещении обыкновенных акций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19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Часть резервного фонда (за счет прибыли предшествующих лет,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35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Нераспределенная прибыль предшествующих лет (подтверждена аудитором)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1 400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Нематериальные активы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Предоставленный субординированный кредит без ограничения срока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65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Прибыль текущего года (ее часть), не подтвержденная аудиторской организацией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50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Привилегированные акции без особых условий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20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130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Часть резервного фонда (за счет прибыли текущего года, не подтвержденной аудитором)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30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 xml:space="preserve">Прирост стоимости имущества </w:t>
                  </w:r>
                  <w:r>
                    <w:rPr>
                      <w:bCs/>
                      <w:color w:val="000000"/>
                      <w:sz w:val="20"/>
                      <w:szCs w:val="20"/>
                    </w:rPr>
                    <w:lastRenderedPageBreak/>
                    <w:t>кредитной организации за счет переоценки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lastRenderedPageBreak/>
                    <w:t>55</w:t>
                  </w:r>
                </w:p>
              </w:tc>
            </w:tr>
            <w:tr w:rsidR="00261CB4">
              <w:tc>
                <w:tcPr>
                  <w:tcW w:w="793" w:type="dxa"/>
                </w:tcPr>
                <w:p w:rsidR="00261CB4" w:rsidRDefault="00E82DCD">
                  <w:pPr>
                    <w:spacing w:after="60" w:line="252" w:lineRule="auto"/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3743" w:type="dxa"/>
                </w:tcPr>
                <w:p w:rsidR="00261CB4" w:rsidRDefault="00E82DCD">
                  <w:pPr>
                    <w:spacing w:after="60" w:line="252" w:lineRule="auto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bCs/>
                      <w:color w:val="000000"/>
                      <w:sz w:val="20"/>
                      <w:szCs w:val="20"/>
                    </w:rPr>
                    <w:t>Просроченная дебиторская задолженность длительностью свыше 30 календарных дней, учитываемая на балансовых счетах</w:t>
                  </w:r>
                </w:p>
              </w:tc>
              <w:tc>
                <w:tcPr>
                  <w:tcW w:w="979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20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right"/>
            </w:pPr>
            <w:r>
              <w:rPr>
                <w:bCs/>
                <w:sz w:val="20"/>
                <w:szCs w:val="20"/>
              </w:rPr>
              <w:t>млрд руб.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4707"/>
              <w:gridCol w:w="1122"/>
            </w:tblGrid>
            <w:tr w:rsidR="00261CB4">
              <w:tc>
                <w:tcPr>
                  <w:tcW w:w="4706" w:type="dxa"/>
                </w:tcPr>
                <w:p w:rsidR="00261CB4" w:rsidRDefault="00E82DCD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базового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  <w:tr w:rsidR="00261CB4">
              <w:tc>
                <w:tcPr>
                  <w:tcW w:w="4706" w:type="dxa"/>
                </w:tcPr>
                <w:p w:rsidR="00261CB4" w:rsidRDefault="00E82DCD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основного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  <w:tr w:rsidR="00261CB4">
              <w:tc>
                <w:tcPr>
                  <w:tcW w:w="4706" w:type="dxa"/>
                </w:tcPr>
                <w:p w:rsidR="00261CB4" w:rsidRDefault="00E82DCD">
                  <w:pPr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 xml:space="preserve">Сумма активов, взвешенных с учетом риска, для расчета достаточности </w:t>
                  </w:r>
                  <w:r>
                    <w:rPr>
                      <w:b/>
                      <w:color w:val="000000"/>
                      <w:sz w:val="20"/>
                      <w:szCs w:val="20"/>
                    </w:rPr>
                    <w:t>собственного</w:t>
                  </w:r>
                  <w:r>
                    <w:rPr>
                      <w:color w:val="000000"/>
                      <w:sz w:val="20"/>
                      <w:szCs w:val="20"/>
                    </w:rPr>
                    <w:t xml:space="preserve"> капитала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jc w:val="right"/>
                    <w:rPr>
                      <w:color w:val="000000"/>
                      <w:sz w:val="20"/>
                      <w:szCs w:val="20"/>
                    </w:rPr>
                  </w:pPr>
                  <w:r>
                    <w:rPr>
                      <w:color w:val="000000"/>
                      <w:sz w:val="20"/>
                      <w:szCs w:val="20"/>
                    </w:rPr>
                    <w:t>32 400</w:t>
                  </w:r>
                </w:p>
              </w:tc>
            </w:tr>
          </w:tbl>
          <w:p w:rsidR="00261CB4" w:rsidRDefault="00261CB4">
            <w:pPr>
              <w:rPr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61CB4" w:rsidRDefault="00E82DCD">
            <w:pPr>
              <w:tabs>
                <w:tab w:val="left" w:pos="540"/>
              </w:tabs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Рассмотрите несколько вариантов моделирования прироста активов относительно первоначального уровня с учетом следующих факторов: изменения рентабельности активов (ROA), дивидендной политики и привлечения внешних источников капитала. В первых двух вариантах внешнее привлечение капитала (за счет выпуска акций, привлечения субординированного кредита и др.) невозможно.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В вашем распоряжении первоначальные данные по объему активов банка, уровню их рентабельности, дивидендной политике и показателю доли капитала в валюте баланса банка (Таблица 1). В каждом из вариантов необходимо обеспечить, чтобы доля капитала в валюте баланса банка оставалась неизменной относительно первоначальных данных.  </w:t>
            </w:r>
            <w:r>
              <w:rPr>
                <w:bCs/>
                <w:u w:val="single"/>
              </w:rPr>
              <w:t>Требуется определить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1. целевой объем активов и капитала банка, величину чистой и нераспределенной прибыли, а также необходимый объем увеличения капитала (для каждого из вариантов);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 xml:space="preserve">2. необходимый уровень рентабельности активов (вариант 1), доли прибыли, уплачиваемой в виде дивидендов (вариант 2), и размер </w:t>
            </w:r>
            <w:r>
              <w:rPr>
                <w:bCs/>
              </w:rPr>
              <w:lastRenderedPageBreak/>
              <w:t>привлекаемого внешнего капитала (вариант 3), необходимые банку, чтобы обеспечить требуемое соотношение капитала и валюты баланса банка.</w:t>
            </w:r>
          </w:p>
          <w:p w:rsidR="00261CB4" w:rsidRDefault="00E82DCD">
            <w:pPr>
              <w:tabs>
                <w:tab w:val="left" w:pos="540"/>
              </w:tabs>
              <w:ind w:firstLine="459"/>
              <w:contextualSpacing/>
              <w:jc w:val="both"/>
            </w:pPr>
            <w:r>
              <w:rPr>
                <w:bCs/>
              </w:rPr>
              <w:t>Таблица 1. Данные о размере активов и капитала банка и его финансовых показателях (первоначальные и прогнозируемые)</w:t>
            </w:r>
          </w:p>
          <w:tbl>
            <w:tblPr>
              <w:tblW w:w="6448" w:type="dxa"/>
              <w:tblLayout w:type="fixed"/>
              <w:tblLook w:val="04A0" w:firstRow="1" w:lastRow="0" w:firstColumn="1" w:lastColumn="0" w:noHBand="0" w:noVBand="1"/>
            </w:tblPr>
            <w:tblGrid>
              <w:gridCol w:w="1871"/>
              <w:gridCol w:w="1122"/>
              <w:gridCol w:w="929"/>
              <w:gridCol w:w="1286"/>
              <w:gridCol w:w="1240"/>
            </w:tblGrid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Наименование показателей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b/>
                      <w:bCs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bCs/>
                      <w:sz w:val="18"/>
                      <w:szCs w:val="18"/>
                    </w:rPr>
                    <w:t>Перво</w:t>
                  </w:r>
                  <w:proofErr w:type="spellEnd"/>
                  <w:r>
                    <w:rPr>
                      <w:b/>
                      <w:bCs/>
                      <w:sz w:val="18"/>
                      <w:szCs w:val="18"/>
                    </w:rPr>
                    <w:t>-начальные данные</w:t>
                  </w:r>
                </w:p>
              </w:tc>
              <w:tc>
                <w:tcPr>
                  <w:tcW w:w="929" w:type="dxa"/>
                </w:tcPr>
                <w:p w:rsidR="00261CB4" w:rsidRDefault="00E82DCD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12% (рост ROA)</w:t>
                  </w:r>
                </w:p>
              </w:tc>
              <w:tc>
                <w:tcPr>
                  <w:tcW w:w="1286" w:type="dxa"/>
                </w:tcPr>
                <w:p w:rsidR="00261CB4" w:rsidRDefault="00E82DCD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10% (уменьшение дивидендов)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rPr>
                      <w:b/>
                      <w:bCs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sz w:val="18"/>
                      <w:szCs w:val="18"/>
                    </w:rPr>
                    <w:t>Прирост активов на 14% (за счет внешних источников)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261CB4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122" w:type="dxa"/>
                </w:tcPr>
                <w:p w:rsidR="00261CB4" w:rsidRDefault="00261CB4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929" w:type="dxa"/>
                </w:tcPr>
                <w:p w:rsidR="00261CB4" w:rsidRDefault="00E82DCD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1</w:t>
                  </w:r>
                </w:p>
              </w:tc>
              <w:tc>
                <w:tcPr>
                  <w:tcW w:w="1286" w:type="dxa"/>
                </w:tcPr>
                <w:p w:rsidR="00261CB4" w:rsidRDefault="00E82DCD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2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jc w:val="center"/>
                    <w:rPr>
                      <w:bCs/>
                      <w:sz w:val="20"/>
                      <w:szCs w:val="20"/>
                    </w:rPr>
                  </w:pPr>
                  <w:r>
                    <w:rPr>
                      <w:bCs/>
                      <w:sz w:val="20"/>
                      <w:szCs w:val="20"/>
                    </w:rPr>
                    <w:t>Вариант 3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Активы, млн. руб.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520</w:t>
                  </w:r>
                </w:p>
              </w:tc>
              <w:tc>
                <w:tcPr>
                  <w:tcW w:w="929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spacing w:after="12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Прирост активов, %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92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12,00%</w:t>
                  </w:r>
                </w:p>
              </w:tc>
              <w:tc>
                <w:tcPr>
                  <w:tcW w:w="1286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10,00%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14,00%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Рентабельность активов ROA (в %)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  <w:tc>
                <w:tcPr>
                  <w:tcW w:w="929" w:type="dxa"/>
                  <w:shd w:val="clear" w:color="auto" w:fill="FBE4D5" w:themeFill="accent2" w:themeFillTint="33"/>
                  <w:vAlign w:val="center"/>
                </w:tcPr>
                <w:p w:rsidR="00261CB4" w:rsidRDefault="00E82DCD">
                  <w:pPr>
                    <w:jc w:val="center"/>
                    <w:rPr>
                      <w:b/>
                      <w:bCs/>
                      <w:sz w:val="28"/>
                      <w:szCs w:val="20"/>
                    </w:rPr>
                  </w:pPr>
                  <w:r>
                    <w:rPr>
                      <w:b/>
                      <w:bCs/>
                      <w:sz w:val="32"/>
                      <w:szCs w:val="20"/>
                      <w:lang w:val="en-US"/>
                    </w:rPr>
                    <w:t>?</w:t>
                  </w:r>
                </w:p>
              </w:tc>
              <w:tc>
                <w:tcPr>
                  <w:tcW w:w="1286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1,00%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Доля прибыли, выплачиваемая в виде дивидендов (в %)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  <w:tc>
                <w:tcPr>
                  <w:tcW w:w="92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  <w:tc>
                <w:tcPr>
                  <w:tcW w:w="1286" w:type="dxa"/>
                  <w:shd w:val="clear" w:color="auto" w:fill="FBE4D5" w:themeFill="accent2" w:themeFillTint="33"/>
                  <w:vAlign w:val="center"/>
                </w:tcPr>
                <w:p w:rsidR="00261CB4" w:rsidRDefault="00E82DCD">
                  <w:pPr>
                    <w:jc w:val="center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32"/>
                      <w:szCs w:val="20"/>
                    </w:rPr>
                    <w:t>?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30%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Нераспределенная прибыль, млн. руб.</w:t>
                  </w:r>
                </w:p>
              </w:tc>
              <w:tc>
                <w:tcPr>
                  <w:tcW w:w="1122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929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Капитал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52,00</w:t>
                  </w:r>
                </w:p>
              </w:tc>
              <w:tc>
                <w:tcPr>
                  <w:tcW w:w="929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86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1240" w:type="dxa"/>
                </w:tcPr>
                <w:p w:rsidR="00261CB4" w:rsidRDefault="00261CB4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Капитал /Активы</w:t>
                  </w:r>
                </w:p>
              </w:tc>
              <w:tc>
                <w:tcPr>
                  <w:tcW w:w="1122" w:type="dxa"/>
                </w:tcPr>
                <w:p w:rsidR="00261CB4" w:rsidRDefault="00E82DCD">
                  <w:pPr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929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1286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  <w:tc>
                <w:tcPr>
                  <w:tcW w:w="1240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10,0%</w:t>
                  </w:r>
                </w:p>
              </w:tc>
            </w:tr>
            <w:tr w:rsidR="00261CB4">
              <w:tc>
                <w:tcPr>
                  <w:tcW w:w="1871" w:type="dxa"/>
                </w:tcPr>
                <w:p w:rsidR="00261CB4" w:rsidRDefault="00E82DCD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Внешнее привлечение капитала</w:t>
                  </w:r>
                </w:p>
              </w:tc>
              <w:tc>
                <w:tcPr>
                  <w:tcW w:w="1122" w:type="dxa"/>
                </w:tcPr>
                <w:p w:rsidR="00261CB4" w:rsidRDefault="00261CB4">
                  <w:pPr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215" w:type="dxa"/>
                  <w:gridSpan w:val="2"/>
                </w:tcPr>
                <w:p w:rsidR="00261CB4" w:rsidRDefault="00E82DCD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Невозможно</w:t>
                  </w:r>
                </w:p>
              </w:tc>
              <w:tc>
                <w:tcPr>
                  <w:tcW w:w="1240" w:type="dxa"/>
                  <w:shd w:val="clear" w:color="auto" w:fill="FBE4D5" w:themeFill="accent2" w:themeFillTint="33"/>
                  <w:vAlign w:val="center"/>
                </w:tcPr>
                <w:p w:rsidR="00261CB4" w:rsidRDefault="00E82DCD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8"/>
                      <w:szCs w:val="20"/>
                    </w:rPr>
                    <w:t>?</w:t>
                  </w:r>
                </w:p>
              </w:tc>
            </w:tr>
          </w:tbl>
          <w:p w:rsidR="00261CB4" w:rsidRDefault="00261CB4">
            <w:pPr>
              <w:rPr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center"/>
              <w:rPr>
                <w:b/>
              </w:rPr>
            </w:pPr>
            <w:r>
              <w:rPr>
                <w:b/>
                <w:bCs/>
              </w:rPr>
              <w:t>Задание 1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 xml:space="preserve">Используя имеющиеся данные (в таблицах 1, 2 и 3), проведите оценку качества и достаточности собственного капитала банка. </w:t>
            </w:r>
            <w:r>
              <w:rPr>
                <w:bCs/>
                <w:u w:val="single"/>
              </w:rPr>
              <w:t>Требуется</w:t>
            </w:r>
            <w:r>
              <w:rPr>
                <w:bCs/>
              </w:rPr>
              <w:t>: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1. определить и оценить структуру капитала банка в разрезе его элементов (в % к итогу);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lastRenderedPageBreak/>
              <w:t>2. рассчитать показатели мультипликатора капитала, долю совокупного риска к общей сумме балансовых активов, а также нормативы достаточности капитала банка и определить соответствие их фактического уровня требованиям ЦБ РФ;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3. проанализировать источники прироста собственного капитала банка за отчетный год (Таблица 3);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4. написать мотивированное заключение по результатам проведенного анализа.</w:t>
            </w: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1. Информация о размере собственного капитала банка и его элементах, на конец года</w:t>
            </w: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3545"/>
              <w:gridCol w:w="851"/>
              <w:gridCol w:w="838"/>
            </w:tblGrid>
            <w:tr w:rsidR="00261CB4">
              <w:tc>
                <w:tcPr>
                  <w:tcW w:w="595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3544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Элемент собственного капитала</w:t>
                  </w:r>
                </w:p>
              </w:tc>
              <w:tc>
                <w:tcPr>
                  <w:tcW w:w="851" w:type="dxa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2016</w:t>
                  </w:r>
                </w:p>
              </w:tc>
              <w:tc>
                <w:tcPr>
                  <w:tcW w:w="838" w:type="dxa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Основной капитал (</w:t>
                  </w:r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 xml:space="preserve">I </w:t>
                  </w:r>
                  <w:r>
                    <w:rPr>
                      <w:rFonts w:eastAsia="Calibri"/>
                      <w:b/>
                      <w:sz w:val="18"/>
                      <w:szCs w:val="18"/>
                    </w:rPr>
                    <w:t>уровня)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16 617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14 577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Базовый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16 617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14 577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Уставный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2 195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2 195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ind w:left="175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обыкновенные акции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2 195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2195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ind w:left="175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привилегированные акции (выпущены до 01.03.13, некумулятивные)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Эмиссионный доход, связанный с акциями, включенными в базовый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4 693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4 693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1.3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Резервный фонд (за счет прибыли, подтвержденной аудиторским заключением)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374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374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1.4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Нераспределенная прибыль, подтвержденная аудиторским заключением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10 805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9 087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прошлых лет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10 805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 xml:space="preserve"> 9 087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отчетного года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i/>
                      <w:sz w:val="18"/>
                      <w:szCs w:val="18"/>
                    </w:rPr>
                  </w:pPr>
                  <w:r>
                    <w:rPr>
                      <w:rFonts w:eastAsia="Calibri"/>
                      <w:i/>
                      <w:sz w:val="18"/>
                      <w:szCs w:val="18"/>
                    </w:rPr>
                    <w:t>-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1.5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Нематериальные активы за минусом износа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(113)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(162)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1.6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Сумма налога на прибыль, подлежащая возмещению в будущих периодах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(726)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1.7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Отрицательная величина добавочного капитала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(82)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(43)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1.8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Убытки прошлых лет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1.9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Убыток текущего года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(1 255)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(841)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Добавочный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-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Дополнительный капитал (</w:t>
                  </w:r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 xml:space="preserve">II </w:t>
                  </w:r>
                  <w:proofErr w:type="spellStart"/>
                  <w:r>
                    <w:rPr>
                      <w:rFonts w:eastAsia="Calibri"/>
                      <w:b/>
                      <w:sz w:val="18"/>
                      <w:szCs w:val="18"/>
                      <w:lang w:val="en-US"/>
                    </w:rPr>
                    <w:t>уровня</w:t>
                  </w:r>
                  <w:proofErr w:type="spellEnd"/>
                  <w:r>
                    <w:rPr>
                      <w:rFonts w:eastAsia="Calibri"/>
                      <w:b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8 634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6 435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2.1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Субординированный кредит по остаточной стоимости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8 581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6 310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lastRenderedPageBreak/>
                    <w:t>2.2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Прибыль текущего года, не подтвержденная аудиторским заключением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-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2.3</w:t>
                  </w: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Прирост стоимости имущества за счет переоценки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53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125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sz w:val="18"/>
                      <w:szCs w:val="18"/>
                    </w:rPr>
                  </w:pPr>
                </w:p>
              </w:tc>
              <w:tc>
                <w:tcPr>
                  <w:tcW w:w="3544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собственный капитал</w:t>
                  </w:r>
                </w:p>
              </w:tc>
              <w:tc>
                <w:tcPr>
                  <w:tcW w:w="851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25 251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21 012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  <w:bCs/>
              </w:rPr>
              <w:t>Таблица 2. Информация о структуре совокупного риска банка, млн руб. на конец года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3404"/>
              <w:gridCol w:w="992"/>
              <w:gridCol w:w="838"/>
            </w:tblGrid>
            <w:tr w:rsidR="00261CB4">
              <w:tc>
                <w:tcPr>
                  <w:tcW w:w="595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3403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Элемент совокупного риска</w:t>
                  </w:r>
                </w:p>
              </w:tc>
              <w:tc>
                <w:tcPr>
                  <w:tcW w:w="992" w:type="dxa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2016</w:t>
                  </w:r>
                </w:p>
              </w:tc>
              <w:tc>
                <w:tcPr>
                  <w:tcW w:w="838" w:type="dxa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Кредитный риск по балансовым активам (взвешенным по уровню риска)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118 485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103 119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 xml:space="preserve">Операции с повышенным коэффициентом (ПК и </w:t>
                  </w:r>
                  <w:proofErr w:type="spellStart"/>
                  <w:r>
                    <w:rPr>
                      <w:rFonts w:eastAsia="Calibri"/>
                      <w:sz w:val="18"/>
                      <w:szCs w:val="18"/>
                    </w:rPr>
                    <w:t>ПКв</w:t>
                  </w:r>
                  <w:proofErr w:type="spellEnd"/>
                  <w:r>
                    <w:rPr>
                      <w:rFonts w:eastAsia="Calibri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31 847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33 851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1.3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Операционный риск (ОР) с k=12,5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1 528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1 652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1.4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Рыночный риск (РР)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10 664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14 349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1.5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Кредитный риск по словным обязательствам кредитного характера (КРВ)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20 942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13 889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1.6</w:t>
                  </w: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Прочие элементы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22 733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right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15 223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величина совокупного риска банка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206 198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000000"/>
                      <w:sz w:val="18"/>
                      <w:szCs w:val="18"/>
                    </w:rPr>
                    <w:t>182 083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3403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 xml:space="preserve">Для справки. </w:t>
                  </w:r>
                  <w:r>
                    <w:rPr>
                      <w:rFonts w:eastAsia="Calibri"/>
                      <w:sz w:val="18"/>
                      <w:szCs w:val="18"/>
                    </w:rPr>
                    <w:t>Валюта баланса</w:t>
                  </w:r>
                </w:p>
              </w:tc>
              <w:tc>
                <w:tcPr>
                  <w:tcW w:w="992" w:type="dxa"/>
                  <w:vAlign w:val="center"/>
                </w:tcPr>
                <w:p w:rsidR="00261CB4" w:rsidRDefault="00E82DCD">
                  <w:pPr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198 861</w:t>
                  </w:r>
                </w:p>
              </w:tc>
              <w:tc>
                <w:tcPr>
                  <w:tcW w:w="838" w:type="dxa"/>
                  <w:vAlign w:val="center"/>
                </w:tcPr>
                <w:p w:rsidR="00261CB4" w:rsidRDefault="00E82DCD">
                  <w:pPr>
                    <w:jc w:val="center"/>
                    <w:rPr>
                      <w:color w:val="000000"/>
                      <w:sz w:val="18"/>
                      <w:szCs w:val="18"/>
                    </w:rPr>
                  </w:pPr>
                  <w:r>
                    <w:rPr>
                      <w:color w:val="000000"/>
                      <w:sz w:val="18"/>
                      <w:szCs w:val="18"/>
                    </w:rPr>
                    <w:t>214 486</w:t>
                  </w:r>
                </w:p>
              </w:tc>
            </w:tr>
          </w:tbl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E82DCD">
            <w:pPr>
              <w:tabs>
                <w:tab w:val="left" w:pos="540"/>
              </w:tabs>
              <w:contextualSpacing/>
              <w:jc w:val="both"/>
            </w:pPr>
            <w:r>
              <w:rPr>
                <w:bCs/>
              </w:rPr>
              <w:t>Таблица 3. Источники прироста собственного капитала банка по укрупненным статьям, млн руб. за год</w:t>
            </w: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p w:rsidR="00261CB4" w:rsidRDefault="00261CB4">
            <w:pPr>
              <w:tabs>
                <w:tab w:val="left" w:pos="540"/>
              </w:tabs>
              <w:contextualSpacing/>
              <w:jc w:val="both"/>
            </w:pPr>
          </w:p>
          <w:tbl>
            <w:tblPr>
              <w:tblW w:w="5829" w:type="dxa"/>
              <w:tblLayout w:type="fixed"/>
              <w:tblLook w:val="04A0" w:firstRow="1" w:lastRow="0" w:firstColumn="1" w:lastColumn="0" w:noHBand="0" w:noVBand="1"/>
            </w:tblPr>
            <w:tblGrid>
              <w:gridCol w:w="595"/>
              <w:gridCol w:w="4254"/>
              <w:gridCol w:w="980"/>
            </w:tblGrid>
            <w:tr w:rsidR="00261CB4">
              <w:tc>
                <w:tcPr>
                  <w:tcW w:w="595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№ п/п</w:t>
                  </w:r>
                </w:p>
              </w:tc>
              <w:tc>
                <w:tcPr>
                  <w:tcW w:w="4254" w:type="dxa"/>
                </w:tcPr>
                <w:p w:rsidR="00261CB4" w:rsidRDefault="00E82DCD">
                  <w:pPr>
                    <w:jc w:val="center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Источники прироста капитала</w:t>
                  </w:r>
                </w:p>
              </w:tc>
              <w:tc>
                <w:tcPr>
                  <w:tcW w:w="980" w:type="dxa"/>
                </w:tcPr>
                <w:p w:rsidR="00261CB4" w:rsidRDefault="00E82DCD">
                  <w:pPr>
                    <w:jc w:val="right"/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2017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Внутренние источники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(1 303)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1.1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Нераспределенная прибыль и резервный капитал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(1 717)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1.2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Непокрытые убытки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414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Внешние источники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(2 271)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2.1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Обыкновенные акции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2.2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Эмиссионный доход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2.3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Привилегированные акции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lastRenderedPageBreak/>
                    <w:t>2.4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Субординированные обязательства (кроме 173-ФЗ и 175-ФЗ)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(2 015)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2.5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Субординированные обязательства (173-ФЗ и 175-ФЗ)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(257)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2.6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Прочие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(664)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2.7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Вложения в акции финансовых организаций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2.8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Предоставленные субординированные кредиты (депозиты)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0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2.9</w:t>
                  </w: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rPr>
                      <w:rFonts w:eastAsia="Calibri"/>
                      <w:sz w:val="18"/>
                      <w:szCs w:val="18"/>
                    </w:rPr>
                  </w:pPr>
                  <w:r>
                    <w:rPr>
                      <w:rFonts w:eastAsia="Calibri"/>
                      <w:sz w:val="18"/>
                      <w:szCs w:val="18"/>
                    </w:rPr>
                    <w:t>Прочее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(664)</w:t>
                  </w:r>
                </w:p>
              </w:tc>
            </w:tr>
            <w:tr w:rsidR="00261CB4">
              <w:tc>
                <w:tcPr>
                  <w:tcW w:w="595" w:type="dxa"/>
                  <w:vAlign w:val="center"/>
                </w:tcPr>
                <w:p w:rsidR="00261CB4" w:rsidRDefault="00261CB4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254" w:type="dxa"/>
                  <w:vAlign w:val="center"/>
                </w:tcPr>
                <w:p w:rsidR="00261CB4" w:rsidRDefault="00E82DCD">
                  <w:pPr>
                    <w:jc w:val="center"/>
                    <w:rPr>
                      <w:rFonts w:eastAsia="Calibri"/>
                      <w:b/>
                      <w:sz w:val="18"/>
                      <w:szCs w:val="18"/>
                    </w:rPr>
                  </w:pPr>
                  <w:r>
                    <w:rPr>
                      <w:rFonts w:eastAsia="Calibri"/>
                      <w:b/>
                      <w:sz w:val="18"/>
                      <w:szCs w:val="18"/>
                    </w:rPr>
                    <w:t>Итого прирост капитала банка</w:t>
                  </w:r>
                </w:p>
              </w:tc>
              <w:tc>
                <w:tcPr>
                  <w:tcW w:w="980" w:type="dxa"/>
                  <w:vAlign w:val="center"/>
                </w:tcPr>
                <w:p w:rsidR="00261CB4" w:rsidRDefault="00E82DCD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(4 239)</w:t>
                  </w:r>
                </w:p>
              </w:tc>
            </w:tr>
          </w:tbl>
          <w:p w:rsidR="00261CB4" w:rsidRDefault="00261CB4">
            <w:pPr>
              <w:rPr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rPr>
                <w:color w:val="00B050"/>
              </w:rPr>
            </w:pPr>
          </w:p>
          <w:p w:rsidR="00261CB4" w:rsidRDefault="00261CB4">
            <w:pPr>
              <w:tabs>
                <w:tab w:val="right" w:leader="dot" w:pos="9345"/>
              </w:tabs>
              <w:jc w:val="both"/>
              <w:rPr>
                <w:b/>
                <w:bCs/>
              </w:rPr>
            </w:pPr>
          </w:p>
        </w:tc>
      </w:tr>
    </w:tbl>
    <w:p w:rsidR="00261CB4" w:rsidRDefault="00261CB4">
      <w:pPr>
        <w:sectPr w:rsidR="00261CB4" w:rsidSect="00EB046A">
          <w:headerReference w:type="default" r:id="rId26"/>
          <w:footerReference w:type="default" r:id="rId27"/>
          <w:pgSz w:w="16838" w:h="11906" w:orient="landscape"/>
          <w:pgMar w:top="850" w:right="1134" w:bottom="1701" w:left="1134" w:header="708" w:footer="708" w:gutter="0"/>
          <w:pgNumType w:start="26"/>
          <w:cols w:space="720"/>
          <w:formProt w:val="0"/>
          <w:docGrid w:linePitch="360"/>
        </w:sectPr>
      </w:pPr>
    </w:p>
    <w:p w:rsidR="00261CB4" w:rsidRDefault="00261CB4">
      <w:pPr>
        <w:spacing w:line="360" w:lineRule="exact"/>
        <w:ind w:firstLine="708"/>
        <w:jc w:val="both"/>
        <w:rPr>
          <w:sz w:val="28"/>
          <w:szCs w:val="20"/>
        </w:rPr>
      </w:pPr>
      <w:bookmarkStart w:id="21" w:name="_Hlk107308697"/>
      <w:bookmarkEnd w:id="21"/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Примерный перечень вопросов для зачета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Достоинства и недостатки финансовой отчетности по РСБУ, по МСФО и управленческой отчетности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Методы оценки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Система CAMELS: общая характеристика содержания и определение типа этой модели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системы </w:t>
      </w:r>
      <w:proofErr w:type="spellStart"/>
      <w:r>
        <w:rPr>
          <w:sz w:val="28"/>
          <w:szCs w:val="28"/>
        </w:rPr>
        <w:t>Rate</w:t>
      </w:r>
      <w:proofErr w:type="spellEnd"/>
      <w:r>
        <w:rPr>
          <w:sz w:val="28"/>
          <w:szCs w:val="28"/>
        </w:rPr>
        <w:t xml:space="preserve"> и определение типа этой модели оценки финансовой устойчивости банка</w:t>
      </w:r>
    </w:p>
    <w:p w:rsidR="00261CB4" w:rsidRDefault="00261CB4">
      <w:pPr>
        <w:pStyle w:val="afb"/>
        <w:widowControl/>
        <w:spacing w:after="120" w:line="360" w:lineRule="auto"/>
        <w:contextualSpacing/>
        <w:rPr>
          <w:sz w:val="28"/>
          <w:szCs w:val="28"/>
        </w:rPr>
      </w:pP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Общая характеристика методики Банка России по оценке экономического положения банков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рейтингового агентства АКРА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Порядок расчета величины собственного (регуляторного) капитала, согласно Положению Банка России № </w:t>
      </w:r>
      <w:r>
        <w:rPr>
          <w:sz w:val="28"/>
          <w:szCs w:val="28"/>
          <w:lang w:val="en-US"/>
        </w:rPr>
        <w:t>646</w:t>
      </w:r>
      <w:r>
        <w:rPr>
          <w:sz w:val="28"/>
          <w:szCs w:val="28"/>
        </w:rPr>
        <w:t>-П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Источники формирования собственного капитала банка и основные критерии их выбора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261CB4" w:rsidRDefault="00261CB4">
      <w:pPr>
        <w:pStyle w:val="afb"/>
        <w:widowControl/>
        <w:spacing w:after="120" w:line="360" w:lineRule="auto"/>
        <w:contextualSpacing/>
        <w:rPr>
          <w:sz w:val="28"/>
          <w:szCs w:val="28"/>
        </w:rPr>
      </w:pP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Основные направления анализа качества активов банка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261CB4" w:rsidRDefault="00E82DCD">
      <w:pPr>
        <w:pStyle w:val="afb"/>
        <w:widowControl/>
        <w:numPr>
          <w:ilvl w:val="0"/>
          <w:numId w:val="1"/>
        </w:numPr>
        <w:spacing w:after="12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Концентрация кредитного портфеля: понятие, влияние на финансовое состояние банка, типы и способы оценки</w:t>
      </w: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Примерный перечень вопросов для экзамена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и типы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Влияние зарубежных санкций на финансовую устойчивость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Соотношение понятий «финансовая устойчивость», «финансовое состояние», «экономическое положение», надежность и стабильность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Финансовая и организационная устойчивость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Классификация и содержание факторов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Внешние факторы финансовой устойчивости банка: политические, правовые, инфраструктурные.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Внутренние факторы финансовой устойчивости банка: понятие и разновидности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Признаки финансовой устойчивости банка и индикаторы ее падения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Идентификация риска потери доходности: понятие и методы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подразделений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идентификации и показатели риска потери доходности на уровне продуктов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финансовой устойчивости банка: понятие и составные элементы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Механизм оценки финансовой устойчивости банка: понятие, критерии и показатели, процедура, организация и методы оценки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Денежные и неденежные показатели оценки финансовой устойчивости банка</w:t>
      </w:r>
    </w:p>
    <w:p w:rsidR="00261CB4" w:rsidRDefault="00261CB4">
      <w:pPr>
        <w:pStyle w:val="afb"/>
        <w:widowControl/>
        <w:spacing w:line="360" w:lineRule="auto"/>
        <w:ind w:left="567" w:hanging="567"/>
        <w:rPr>
          <w:sz w:val="28"/>
          <w:szCs w:val="28"/>
        </w:rPr>
      </w:pPr>
    </w:p>
    <w:p w:rsidR="00261CB4" w:rsidRDefault="00261CB4">
      <w:pPr>
        <w:pStyle w:val="afb"/>
        <w:widowControl/>
        <w:spacing w:line="360" w:lineRule="auto"/>
        <w:ind w:left="567" w:hanging="567"/>
        <w:rPr>
          <w:sz w:val="28"/>
          <w:szCs w:val="28"/>
        </w:rPr>
      </w:pP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Процедура оценки финансовой устойчивости банка: этапы, инструменты, выбор показателей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Организация оценки финансовой устойчивости банка: субъекты оценки, информационная база, взаимоотношения участников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Методы оценки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моделей оценки финансовой устойчивости банка и критерии их классификации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CAMELS: общая характеристика содержания и определение типа этой модели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системы </w:t>
      </w:r>
      <w:proofErr w:type="spellStart"/>
      <w:r>
        <w:rPr>
          <w:sz w:val="28"/>
          <w:szCs w:val="28"/>
        </w:rPr>
        <w:t>Rate</w:t>
      </w:r>
      <w:proofErr w:type="spellEnd"/>
      <w:r>
        <w:rPr>
          <w:sz w:val="28"/>
          <w:szCs w:val="28"/>
        </w:rPr>
        <w:t xml:space="preserve"> и определение типа этой модели оценки финансовой устойчивости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Общая характеристика методики Банка России по оценке экономического положения банков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капитала банка в рамках системы CAMELS и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активов по системе CAMELS и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Система оценки уровня доходности (прибыльности) банка в рамках системы CAMELS и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ликвидности банка по системе CAMELS и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Сравнительная характеристика оценки качества менеджмента по системе CAMELS и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чувствительности банка к рискам по системе CAMELS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уровня процентного риска и риска концентрации по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Оценка прозрачности собственности банка по модели Банка России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Использование финансовой отчетности по РСБУ и МСФО, а также управленческой отчетности для кредитного анализа банков: достоинства и недостатки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Характеристика основных форм отчетности по РСБУ и их роль в анализе финансового состояния коммерческого банка</w:t>
      </w:r>
    </w:p>
    <w:p w:rsidR="00261CB4" w:rsidRDefault="00E82DCD">
      <w:pPr>
        <w:pStyle w:val="afb"/>
        <w:widowControl/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fldChar w:fldCharType="begin"/>
      </w:r>
      <w:r>
        <w:rPr>
          <w:sz w:val="28"/>
          <w:szCs w:val="28"/>
        </w:rPr>
        <w:instrText>PAGE</w:instrText>
      </w:r>
      <w:r>
        <w:rPr>
          <w:sz w:val="28"/>
          <w:szCs w:val="28"/>
        </w:rPr>
        <w:fldChar w:fldCharType="end"/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Компоненты кредитного анализа банков по методике рейтингового агентства АКРА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собственного капитала банка и его состав для целей составления бухгалтерского баланса и для целей регулирования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Понятие субординированного долга и критерии его включения в состав собственного (регуляторного) капитала, согласно Положению Банка России № 646-П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собственного (регуляторного) капитала, критерии распределения элементов между уровнями капитала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Порядок расчета величины собственного (регуляторного) капитала, согласно Положению Банка России № 646-П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формирования собственного капитала банка и основные критерии их выбора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Экономическое содержание и уровни четырех нормативов достаточности капитала банка 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Структура совокупного риска банка, учитываемого при расчете норматива Н1.0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Надбавки к достаточности капитала: виды, порядок введения, границы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собственного капитала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привлеченных и заемных средств банка и их структура в условиях российской практики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оценки качества ресурсной базы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Подходы к оценке степени диверсификации ресурсной базы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 xml:space="preserve">Показатели оценки стабильности ресурсной базы банка и величины неснижаемого остатка на счетах клиентов 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Состав и структура активов российских банков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Основные направления анализа качества активов банка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t>Источники кредитного риска банка и способы оценки его уровня</w:t>
      </w:r>
    </w:p>
    <w:p w:rsidR="00261CB4" w:rsidRDefault="00E82DCD">
      <w:pPr>
        <w:pStyle w:val="afb"/>
        <w:widowControl/>
        <w:numPr>
          <w:ilvl w:val="0"/>
          <w:numId w:val="6"/>
        </w:numPr>
        <w:spacing w:line="360" w:lineRule="auto"/>
        <w:ind w:left="567" w:hanging="567"/>
        <w:rPr>
          <w:sz w:val="28"/>
          <w:szCs w:val="28"/>
        </w:rPr>
      </w:pPr>
      <w:r>
        <w:rPr>
          <w:sz w:val="28"/>
          <w:szCs w:val="28"/>
        </w:rPr>
        <w:lastRenderedPageBreak/>
        <w:t>Концентрация кредитного портфеля: понятие, влияние на финансовое состояние банка, типы и способы оценки</w:t>
      </w:r>
    </w:p>
    <w:p w:rsidR="00261CB4" w:rsidRDefault="00E82DCD">
      <w:pPr>
        <w:spacing w:line="360" w:lineRule="auto"/>
        <w:ind w:firstLine="709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Пример экзаменационного билета </w:t>
      </w:r>
    </w:p>
    <w:p w:rsidR="00261CB4" w:rsidRDefault="00E82DCD">
      <w:pPr>
        <w:jc w:val="center"/>
        <w:rPr>
          <w:b/>
        </w:rPr>
      </w:pPr>
      <w:r>
        <w:rPr>
          <w:b/>
        </w:rPr>
        <w:t xml:space="preserve">  Федеральное государственное образовательное бюджетное учреждение</w:t>
      </w:r>
    </w:p>
    <w:p w:rsidR="00261CB4" w:rsidRDefault="00E82DCD">
      <w:pPr>
        <w:jc w:val="center"/>
        <w:rPr>
          <w:b/>
        </w:rPr>
      </w:pPr>
      <w:r>
        <w:rPr>
          <w:b/>
        </w:rPr>
        <w:t>высшего образования</w:t>
      </w:r>
    </w:p>
    <w:p w:rsidR="00261CB4" w:rsidRDefault="00E82DCD">
      <w:pPr>
        <w:jc w:val="center"/>
        <w:rPr>
          <w:b/>
        </w:rPr>
      </w:pPr>
      <w:r>
        <w:rPr>
          <w:b/>
        </w:rPr>
        <w:t>«Финансовый университет при Правительстве Российской Федерации»</w:t>
      </w:r>
    </w:p>
    <w:p w:rsidR="00261CB4" w:rsidRDefault="00E82DCD">
      <w:pPr>
        <w:jc w:val="center"/>
        <w:rPr>
          <w:b/>
        </w:rPr>
      </w:pPr>
      <w:r>
        <w:rPr>
          <w:b/>
        </w:rPr>
        <w:t>(Финансовый университет)</w:t>
      </w:r>
    </w:p>
    <w:p w:rsidR="00261CB4" w:rsidRDefault="00261CB4">
      <w:pPr>
        <w:jc w:val="both"/>
        <w:rPr>
          <w:color w:val="00B050"/>
          <w:sz w:val="28"/>
          <w:szCs w:val="28"/>
        </w:rPr>
      </w:pP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Департамент банковского дела и монетарного регулирования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Дисциплина: «Оценка финансовой устойчивости и перспектив деятельности кредитной организации»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Факультет финансовый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 xml:space="preserve">Форма обучения: 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Модуль: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Направление подготовки 38.04.08 – Финансы и кредит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Направленность программы магистратуры: "Банковское дело и риск-менеджмент"</w:t>
      </w:r>
    </w:p>
    <w:p w:rsidR="00261CB4" w:rsidRDefault="00E82DCD">
      <w:pPr>
        <w:jc w:val="both"/>
        <w:rPr>
          <w:color w:val="00B050"/>
          <w:sz w:val="28"/>
          <w:szCs w:val="28"/>
        </w:rPr>
      </w:pPr>
      <w:r>
        <w:t>Учебная группа: ___</w:t>
      </w:r>
    </w:p>
    <w:p w:rsidR="00261CB4" w:rsidRDefault="00261CB4">
      <w:pPr>
        <w:jc w:val="center"/>
        <w:rPr>
          <w:b/>
        </w:rPr>
      </w:pPr>
    </w:p>
    <w:p w:rsidR="00261CB4" w:rsidRDefault="00E82DCD">
      <w:pPr>
        <w:jc w:val="center"/>
        <w:rPr>
          <w:b/>
        </w:rPr>
      </w:pPr>
      <w:r>
        <w:rPr>
          <w:b/>
        </w:rPr>
        <w:t>ЭКЗАМЕНАЦИОННЫЙ БИЛЕТ № 1</w:t>
      </w:r>
    </w:p>
    <w:p w:rsidR="00261CB4" w:rsidRDefault="00261CB4">
      <w:pPr>
        <w:jc w:val="center"/>
        <w:rPr>
          <w:b/>
        </w:rPr>
      </w:pPr>
    </w:p>
    <w:p w:rsidR="00261CB4" w:rsidRDefault="00E82DCD">
      <w:pPr>
        <w:pStyle w:val="aff1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ЗАДАНИЕ 1. Дайте развернутый ответ на дискуссионный теоретический вопрос (максимум 15 баллов).</w:t>
      </w:r>
    </w:p>
    <w:p w:rsidR="00261CB4" w:rsidRDefault="00E82DCD">
      <w:pPr>
        <w:pStyle w:val="aff1"/>
        <w:jc w:val="both"/>
        <w:rPr>
          <w:rStyle w:val="FontStyle13"/>
          <w:rFonts w:eastAsiaTheme="majorEastAsia"/>
          <w:b/>
          <w:color w:val="auto"/>
        </w:rPr>
      </w:pPr>
      <w:r>
        <w:rPr>
          <w:rStyle w:val="FontStyle13"/>
          <w:rFonts w:eastAsiaTheme="majorEastAsia"/>
          <w:b/>
          <w:color w:val="auto"/>
        </w:rPr>
        <w:t>Понятие и типы финансовой устойчивости банка.</w:t>
      </w:r>
    </w:p>
    <w:p w:rsidR="00261CB4" w:rsidRDefault="00261CB4">
      <w:pPr>
        <w:pStyle w:val="aff1"/>
        <w:jc w:val="both"/>
        <w:rPr>
          <w:b/>
        </w:rPr>
      </w:pPr>
    </w:p>
    <w:p w:rsidR="00261CB4" w:rsidRDefault="00E82DCD">
      <w:pPr>
        <w:pStyle w:val="aff1"/>
        <w:jc w:val="both"/>
        <w:rPr>
          <w:b/>
        </w:rPr>
      </w:pPr>
      <w:r>
        <w:rPr>
          <w:b/>
        </w:rPr>
        <w:t xml:space="preserve">ЗАДАНИЕ 2. </w:t>
      </w:r>
      <w:r>
        <w:rPr>
          <w:rStyle w:val="FontStyle13"/>
          <w:rFonts w:eastAsiaTheme="majorEastAsia"/>
          <w:b/>
          <w:color w:val="auto"/>
        </w:rPr>
        <w:t>Дайте развернутый ответ на дискуссионный теоретический вопрос (максимум 15 баллов).</w:t>
      </w:r>
    </w:p>
    <w:p w:rsidR="00261CB4" w:rsidRDefault="00E82DCD">
      <w:pPr>
        <w:pStyle w:val="aff1"/>
        <w:jc w:val="both"/>
        <w:rPr>
          <w:color w:val="00B050"/>
          <w:sz w:val="28"/>
          <w:szCs w:val="28"/>
        </w:rPr>
      </w:pPr>
      <w:r>
        <w:rPr>
          <w:b/>
        </w:rPr>
        <w:t>Методы анализ уровня концентрации источников операционного дохода банка.</w:t>
      </w:r>
    </w:p>
    <w:p w:rsidR="00261CB4" w:rsidRDefault="00261CB4">
      <w:pPr>
        <w:pStyle w:val="aff1"/>
        <w:jc w:val="both"/>
        <w:rPr>
          <w:color w:val="00B050"/>
          <w:sz w:val="28"/>
          <w:szCs w:val="28"/>
        </w:rPr>
      </w:pPr>
    </w:p>
    <w:p w:rsidR="00261CB4" w:rsidRDefault="00E82DCD">
      <w:pPr>
        <w:pStyle w:val="aff1"/>
        <w:jc w:val="both"/>
        <w:rPr>
          <w:color w:val="00B050"/>
          <w:sz w:val="28"/>
          <w:szCs w:val="28"/>
        </w:rPr>
      </w:pPr>
      <w:r>
        <w:rPr>
          <w:rStyle w:val="FontStyle15"/>
          <w:rFonts w:eastAsiaTheme="majorEastAsia"/>
          <w:color w:val="auto"/>
          <w:sz w:val="24"/>
          <w:szCs w:val="24"/>
        </w:rPr>
        <w:t>ЗАДАНИЕ 3. Выполните практико-ориентированное задание (максимум 30 баллов).</w:t>
      </w:r>
    </w:p>
    <w:p w:rsidR="00261CB4" w:rsidRDefault="00261CB4">
      <w:pPr>
        <w:pStyle w:val="aff1"/>
        <w:jc w:val="both"/>
        <w:rPr>
          <w:lang w:val="x-none"/>
        </w:rPr>
      </w:pPr>
    </w:p>
    <w:p w:rsidR="00261CB4" w:rsidRDefault="00E82DCD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На основе данных о составе и структуре собственного (регуляторного) капитала банка (является </w:t>
      </w:r>
      <w:r>
        <w:rPr>
          <w:u w:val="single"/>
        </w:rPr>
        <w:t>системно значимым</w:t>
      </w:r>
      <w:r>
        <w:t xml:space="preserve">), структуре совокупного риска, дополнительных показателях баланса банка, его доходов и расходов (Таблицы 1-3) требуется: </w:t>
      </w:r>
    </w:p>
    <w:p w:rsidR="00261CB4" w:rsidRDefault="00E82DCD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1. рассчитать величину нормативов достаточности собственного капитала банка (Н1.1, Н1.2 и Н1.0), оценить их значения и изменение во времени, а также определить соблюдение обязательств по поддержанию требуемых надбавок к нормативам достаточности капитала;</w:t>
      </w:r>
    </w:p>
    <w:p w:rsidR="00261CB4" w:rsidRDefault="00E82DCD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>2. рассчитать и оценить показатель иммобилизации капитала банка, а также темпы прироста активов, кредитного портфеля банка и регуляторного капитала банка;</w:t>
      </w:r>
    </w:p>
    <w:p w:rsidR="00261CB4" w:rsidRDefault="00E82DCD">
      <w:pPr>
        <w:spacing w:after="120"/>
        <w:ind w:firstLine="708"/>
        <w:jc w:val="both"/>
        <w:rPr>
          <w:color w:val="00B050"/>
          <w:sz w:val="28"/>
          <w:szCs w:val="28"/>
        </w:rPr>
      </w:pPr>
      <w:r>
        <w:t xml:space="preserve">3. проанализировать и оценить источники прироста собственного (регуляторного) капитала банка; </w:t>
      </w:r>
    </w:p>
    <w:p w:rsidR="00261CB4" w:rsidRDefault="00E82DCD">
      <w:pPr>
        <w:spacing w:after="120"/>
        <w:ind w:firstLine="709"/>
        <w:rPr>
          <w:iCs/>
        </w:rPr>
        <w:sectPr w:rsidR="00261CB4">
          <w:headerReference w:type="default" r:id="rId28"/>
          <w:footerReference w:type="default" r:id="rId29"/>
          <w:pgSz w:w="11906" w:h="16838"/>
          <w:pgMar w:top="851" w:right="850" w:bottom="993" w:left="993" w:header="708" w:footer="708" w:gutter="0"/>
          <w:cols w:space="720"/>
          <w:formProt w:val="0"/>
          <w:docGrid w:linePitch="360"/>
        </w:sectPr>
      </w:pPr>
      <w:r>
        <w:t>4. написать выводы о качестве собственного капитала банка по результатам проведенного анализа.</w:t>
      </w:r>
    </w:p>
    <w:p w:rsidR="00261CB4" w:rsidRDefault="00E82DCD">
      <w:pPr>
        <w:ind w:firstLine="709"/>
        <w:rPr>
          <w:iCs/>
        </w:rPr>
      </w:pPr>
      <w:r>
        <w:rPr>
          <w:iCs/>
        </w:rPr>
        <w:lastRenderedPageBreak/>
        <w:t>Таблица 1 – Структура собственного капитала банка на 31.12 года, млрд руб.</w:t>
      </w:r>
    </w:p>
    <w:tbl>
      <w:tblPr>
        <w:tblW w:w="13844" w:type="dxa"/>
        <w:tblLayout w:type="fixed"/>
        <w:tblLook w:val="04A0" w:firstRow="1" w:lastRow="0" w:firstColumn="1" w:lastColumn="0" w:noHBand="0" w:noVBand="1"/>
      </w:tblPr>
      <w:tblGrid>
        <w:gridCol w:w="366"/>
        <w:gridCol w:w="284"/>
        <w:gridCol w:w="282"/>
        <w:gridCol w:w="497"/>
        <w:gridCol w:w="6303"/>
        <w:gridCol w:w="1193"/>
        <w:gridCol w:w="1196"/>
        <w:gridCol w:w="1201"/>
        <w:gridCol w:w="1194"/>
        <w:gridCol w:w="1328"/>
      </w:tblGrid>
      <w:tr w:rsidR="00261CB4">
        <w:trPr>
          <w:trHeight w:val="345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Элемент собственного капитала</w:t>
            </w:r>
          </w:p>
        </w:tc>
        <w:tc>
          <w:tcPr>
            <w:tcW w:w="1193" w:type="dxa"/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96" w:type="dxa"/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201" w:type="dxa"/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194" w:type="dxa"/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28" w:type="dxa"/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261CB4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7365" w:type="dxa"/>
            <w:gridSpan w:val="4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Основной капитал (I уровня) = Базовый + Добавочный</w:t>
            </w:r>
          </w:p>
        </w:tc>
        <w:tc>
          <w:tcPr>
            <w:tcW w:w="1193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201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85,4</w:t>
            </w:r>
          </w:p>
        </w:tc>
        <w:tc>
          <w:tcPr>
            <w:tcW w:w="1328" w:type="dxa"/>
            <w:tcBorders>
              <w:top w:val="single" w:sz="8" w:space="0" w:color="808080"/>
            </w:tcBorders>
            <w:shd w:val="clear" w:color="000000" w:fill="FDE9D9"/>
          </w:tcPr>
          <w:p w:rsidR="00261CB4" w:rsidRDefault="00E82DC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E82DCD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Базовый капитал</w:t>
            </w:r>
          </w:p>
        </w:tc>
        <w:tc>
          <w:tcPr>
            <w:tcW w:w="1193" w:type="dxa"/>
            <w:shd w:val="clear" w:color="000000" w:fill="FFFFFF"/>
          </w:tcPr>
          <w:p w:rsidR="00261CB4" w:rsidRDefault="00E82DC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25,9</w:t>
            </w:r>
          </w:p>
        </w:tc>
        <w:tc>
          <w:tcPr>
            <w:tcW w:w="1196" w:type="dxa"/>
            <w:shd w:val="clear" w:color="000000" w:fill="FFFFFF"/>
          </w:tcPr>
          <w:p w:rsidR="00261CB4" w:rsidRDefault="00E82DC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1201" w:type="dxa"/>
            <w:shd w:val="clear" w:color="000000" w:fill="FFFFFF"/>
          </w:tcPr>
          <w:p w:rsidR="00261CB4" w:rsidRDefault="00E82DC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48,8</w:t>
            </w:r>
          </w:p>
        </w:tc>
        <w:tc>
          <w:tcPr>
            <w:tcW w:w="1194" w:type="dxa"/>
            <w:shd w:val="clear" w:color="000000" w:fill="FFFFFF"/>
          </w:tcPr>
          <w:p w:rsidR="00261CB4" w:rsidRDefault="00E82DC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61,6</w:t>
            </w:r>
          </w:p>
        </w:tc>
        <w:tc>
          <w:tcPr>
            <w:tcW w:w="1328" w:type="dxa"/>
            <w:shd w:val="clear" w:color="000000" w:fill="FFFFFF"/>
          </w:tcPr>
          <w:p w:rsidR="00261CB4" w:rsidRDefault="00E82DC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Уставный капитал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16,2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обыкновенные акции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8,7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14,3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16,2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привилегированные акции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доли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Эмиссионный доход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5,9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21,0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27,7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Резервный фонд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2,6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Нераспределенная прибыль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8,9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11,5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15,2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19,5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прошлых лет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5,8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9,7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11,2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</w:tr>
      <w:tr w:rsidR="00261CB4">
        <w:trPr>
          <w:trHeight w:val="215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i/>
                <w:iCs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отчетного года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3,1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1,8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4,0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1,9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i/>
                <w:iCs/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НМА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(0,1)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Отрицательная величина добавочного капитала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Сумма налога на прибыль, подлежащая возмещению в будущих периодах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Собственные акции, выкупленные у акционеров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(0,0)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Убытки предшествующих лет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Убыток текущего года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Инвестиции в капитал финансовых организаций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несущественные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b/>
                <w:bCs/>
                <w:i/>
                <w:iCs/>
                <w:color w:val="FF0000"/>
                <w:sz w:val="20"/>
              </w:rPr>
            </w:pPr>
          </w:p>
        </w:tc>
        <w:tc>
          <w:tcPr>
            <w:tcW w:w="497" w:type="dxa"/>
            <w:shd w:val="clear" w:color="000000" w:fill="F2F2F2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-</w:t>
            </w: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i/>
                <w:iCs/>
                <w:sz w:val="20"/>
              </w:rPr>
            </w:pPr>
            <w:r>
              <w:rPr>
                <w:i/>
                <w:iCs/>
                <w:sz w:val="20"/>
              </w:rPr>
              <w:t>существенные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E82DCD">
            <w:pPr>
              <w:rPr>
                <w:i/>
                <w:iCs/>
                <w:color w:val="000000"/>
                <w:sz w:val="20"/>
                <w:szCs w:val="20"/>
              </w:rPr>
            </w:pPr>
            <w:r>
              <w:rPr>
                <w:i/>
                <w:iCs/>
                <w:color w:val="000000"/>
                <w:sz w:val="20"/>
                <w:szCs w:val="20"/>
              </w:rPr>
              <w:t>-</w:t>
            </w:r>
          </w:p>
        </w:tc>
        <w:tc>
          <w:tcPr>
            <w:tcW w:w="7081" w:type="dxa"/>
            <w:gridSpan w:val="3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Добавочный капитал</w:t>
            </w:r>
          </w:p>
        </w:tc>
        <w:tc>
          <w:tcPr>
            <w:tcW w:w="1193" w:type="dxa"/>
            <w:shd w:val="clear" w:color="000000" w:fill="FFFFFF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FFFFF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FFFFFF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FFFFFF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23,8</w:t>
            </w:r>
          </w:p>
        </w:tc>
        <w:tc>
          <w:tcPr>
            <w:tcW w:w="1328" w:type="dxa"/>
            <w:shd w:val="clear" w:color="000000" w:fill="FFFFFF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Привилегированные акции особого типа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Эмиссионный доход от выпуска вышеуказанных привилегированных акций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Субординированный заем с дополнительными условиями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Субординированный кредит без ограничения срока привлечения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24,2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Вычитаются: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Вложения в собственные привилегированные акции особого типа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Вложения в привилегированные акции финансовых организаций (относящиеся к этому разделу)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Обязательства банка по приобретению включенных в этот раздел источников собственного капитала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Отрицательная величина дополнительного капитала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Иное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(0,2)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(0,5)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(0,6)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(0,4)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DE9D9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</w:p>
        </w:tc>
        <w:tc>
          <w:tcPr>
            <w:tcW w:w="7365" w:type="dxa"/>
            <w:gridSpan w:val="4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Дополнительный капитал (II уровня)</w:t>
            </w:r>
          </w:p>
        </w:tc>
        <w:tc>
          <w:tcPr>
            <w:tcW w:w="1193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</w:t>
            </w:r>
          </w:p>
        </w:tc>
        <w:tc>
          <w:tcPr>
            <w:tcW w:w="1196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45,7</w:t>
            </w:r>
          </w:p>
        </w:tc>
        <w:tc>
          <w:tcPr>
            <w:tcW w:w="1201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35,9</w:t>
            </w:r>
          </w:p>
        </w:tc>
        <w:tc>
          <w:tcPr>
            <w:tcW w:w="1194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65,9</w:t>
            </w:r>
          </w:p>
        </w:tc>
        <w:tc>
          <w:tcPr>
            <w:tcW w:w="1328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69,3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(до 1 марта 2013), кроме указанных выше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Привилегированые</w:t>
            </w:r>
            <w:proofErr w:type="spellEnd"/>
            <w:r>
              <w:rPr>
                <w:sz w:val="20"/>
                <w:szCs w:val="20"/>
              </w:rPr>
              <w:t xml:space="preserve"> акции (после 1 марта 2013), кроме указанных выше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Часть УК, сформированного за счет капитализации стоимости имущества при переоценке до его выбытия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Эмисионный</w:t>
            </w:r>
            <w:proofErr w:type="spellEnd"/>
            <w:r>
              <w:rPr>
                <w:sz w:val="20"/>
                <w:szCs w:val="20"/>
              </w:rPr>
              <w:t xml:space="preserve"> доход от выпуска привилегированных акций данного раздела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Резервный фонд за счет прибыли текущего  или прошлого года до подтверждения аудитором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(остаточная стоимость в последние 5 лет)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21,6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43,1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34,3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60,4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61CB4" w:rsidRDefault="00261CB4">
            <w:pPr>
              <w:rPr>
                <w:sz w:val="20"/>
                <w:szCs w:val="20"/>
              </w:rPr>
            </w:pP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субординированный кредит (депозит, заем, облигационный заем) на срок не менее 50 лет, от резидента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61CB4" w:rsidRDefault="00261CB4">
            <w:pPr>
              <w:rPr>
                <w:sz w:val="20"/>
                <w:szCs w:val="20"/>
              </w:rPr>
            </w:pP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привлеченные до 1 марта 2013 года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1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1"/>
              <w:rPr>
                <w:color w:val="000000"/>
                <w:sz w:val="20"/>
                <w:szCs w:val="20"/>
              </w:rPr>
            </w:pPr>
          </w:p>
        </w:tc>
        <w:tc>
          <w:tcPr>
            <w:tcW w:w="497" w:type="dxa"/>
            <w:shd w:val="clear" w:color="000000" w:fill="EEECE1"/>
          </w:tcPr>
          <w:p w:rsidR="00261CB4" w:rsidRDefault="00261CB4">
            <w:pPr>
              <w:rPr>
                <w:sz w:val="20"/>
                <w:szCs w:val="20"/>
              </w:rPr>
            </w:pPr>
          </w:p>
        </w:tc>
        <w:tc>
          <w:tcPr>
            <w:tcW w:w="6302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субординированные кредиты, предоставленные в соответствии с  Законом N 173-ФЗ и Законом N 175-ФЗ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текущего года, не подтвержденная аудитором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5,0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Прибыль предшествующих лет, не подтвержденная аудитором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Прирост стоимости имущества за счет переоценки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outlineLvl w:val="0"/>
              <w:rPr>
                <w:i/>
                <w:iCs/>
                <w:color w:val="000000"/>
                <w:sz w:val="20"/>
                <w:szCs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6799" w:type="dxa"/>
            <w:gridSpan w:val="2"/>
            <w:shd w:val="clear" w:color="000000" w:fill="F2F2F2"/>
          </w:tcPr>
          <w:p w:rsidR="00261CB4" w:rsidRDefault="00E82DCD">
            <w:pPr>
              <w:rPr>
                <w:b/>
                <w:bCs/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Вычитаются: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FFFFF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284" w:type="dxa"/>
            <w:shd w:val="clear" w:color="000000" w:fill="FFFFFF"/>
          </w:tcPr>
          <w:p w:rsidR="00261CB4" w:rsidRDefault="00261CB4">
            <w:pPr>
              <w:rPr>
                <w:sz w:val="20"/>
              </w:rPr>
            </w:pPr>
          </w:p>
        </w:tc>
        <w:tc>
          <w:tcPr>
            <w:tcW w:w="282" w:type="dxa"/>
            <w:shd w:val="clear" w:color="000000" w:fill="EEECE1"/>
          </w:tcPr>
          <w:p w:rsidR="00261CB4" w:rsidRDefault="00E82DCD">
            <w:pPr>
              <w:rPr>
                <w:b/>
                <w:bCs/>
                <w:color w:val="FF0000"/>
                <w:sz w:val="20"/>
              </w:rPr>
            </w:pPr>
            <w:r>
              <w:rPr>
                <w:b/>
                <w:bCs/>
                <w:color w:val="FF0000"/>
                <w:sz w:val="20"/>
              </w:rPr>
              <w:t>-</w:t>
            </w:r>
          </w:p>
        </w:tc>
        <w:tc>
          <w:tcPr>
            <w:tcW w:w="6799" w:type="dxa"/>
            <w:gridSpan w:val="2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Предоставленные субординированные кредиты и займы на условиях выше</w:t>
            </w:r>
          </w:p>
        </w:tc>
        <w:tc>
          <w:tcPr>
            <w:tcW w:w="1193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6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01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194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(0,0)</w:t>
            </w:r>
          </w:p>
        </w:tc>
        <w:tc>
          <w:tcPr>
            <w:tcW w:w="1328" w:type="dxa"/>
            <w:shd w:val="clear" w:color="000000" w:fill="EEECE1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(0,3)</w:t>
            </w:r>
          </w:p>
        </w:tc>
      </w:tr>
      <w:tr w:rsidR="00261CB4">
        <w:trPr>
          <w:trHeight w:val="330"/>
        </w:trPr>
        <w:tc>
          <w:tcPr>
            <w:tcW w:w="365" w:type="dxa"/>
            <w:shd w:val="clear" w:color="000000" w:fill="FDE9D9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</w:p>
        </w:tc>
        <w:tc>
          <w:tcPr>
            <w:tcW w:w="7365" w:type="dxa"/>
            <w:gridSpan w:val="4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Показатели, определенные в соответствии с пунктом 4 Положения N 646-П</w:t>
            </w:r>
          </w:p>
        </w:tc>
        <w:tc>
          <w:tcPr>
            <w:tcW w:w="1193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6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01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94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28" w:type="dxa"/>
            <w:shd w:val="clear" w:color="000000" w:fill="FDE9D9"/>
          </w:tcPr>
          <w:p w:rsidR="00261CB4" w:rsidRDefault="00E82D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65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261CB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261CB4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081" w:type="dxa"/>
            <w:gridSpan w:val="3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Собственный капитал (Базель III), итого</w:t>
            </w:r>
          </w:p>
        </w:tc>
        <w:tc>
          <w:tcPr>
            <w:tcW w:w="1193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48,6</w:t>
            </w:r>
          </w:p>
        </w:tc>
        <w:tc>
          <w:tcPr>
            <w:tcW w:w="1196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92,7</w:t>
            </w:r>
          </w:p>
        </w:tc>
        <w:tc>
          <w:tcPr>
            <w:tcW w:w="1201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84,7</w:t>
            </w:r>
          </w:p>
        </w:tc>
        <w:tc>
          <w:tcPr>
            <w:tcW w:w="1194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151,3</w:t>
            </w:r>
          </w:p>
        </w:tc>
        <w:tc>
          <w:tcPr>
            <w:tcW w:w="1328" w:type="dxa"/>
            <w:tcBorders>
              <w:top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163,3</w:t>
            </w:r>
          </w:p>
        </w:tc>
      </w:tr>
    </w:tbl>
    <w:p w:rsidR="00261CB4" w:rsidRDefault="00261CB4">
      <w:pPr>
        <w:pStyle w:val="aff1"/>
        <w:jc w:val="both"/>
        <w:rPr>
          <w:iCs/>
        </w:rPr>
        <w:sectPr w:rsidR="00261CB4" w:rsidSect="00D54515">
          <w:headerReference w:type="default" r:id="rId30"/>
          <w:footerReference w:type="default" r:id="rId31"/>
          <w:pgSz w:w="16838" w:h="11906" w:orient="landscape"/>
          <w:pgMar w:top="993" w:right="851" w:bottom="850" w:left="993" w:header="708" w:footer="708" w:gutter="0"/>
          <w:pgNumType w:start="58"/>
          <w:cols w:space="720"/>
          <w:formProt w:val="0"/>
          <w:docGrid w:linePitch="360"/>
        </w:sectPr>
      </w:pPr>
    </w:p>
    <w:p w:rsidR="00261CB4" w:rsidRDefault="00261CB4">
      <w:pPr>
        <w:rPr>
          <w:iCs/>
        </w:rPr>
      </w:pPr>
    </w:p>
    <w:p w:rsidR="00261CB4" w:rsidRDefault="00E82DCD">
      <w:pPr>
        <w:ind w:firstLine="709"/>
        <w:rPr>
          <w:iCs/>
        </w:rPr>
      </w:pPr>
      <w:r>
        <w:rPr>
          <w:iCs/>
        </w:rPr>
        <w:t>Таблица 2 – Дополнительные показатели баланса банка, его доходов и расходов, млрд руб. на 31.12 года</w:t>
      </w:r>
    </w:p>
    <w:tbl>
      <w:tblPr>
        <w:tblW w:w="9948" w:type="dxa"/>
        <w:tblLayout w:type="fixed"/>
        <w:tblLook w:val="04A0" w:firstRow="1" w:lastRow="0" w:firstColumn="1" w:lastColumn="0" w:noHBand="0" w:noVBand="1"/>
      </w:tblPr>
      <w:tblGrid>
        <w:gridCol w:w="3827"/>
        <w:gridCol w:w="1197"/>
        <w:gridCol w:w="1197"/>
        <w:gridCol w:w="1200"/>
        <w:gridCol w:w="1191"/>
        <w:gridCol w:w="1336"/>
      </w:tblGrid>
      <w:tr w:rsidR="00261CB4">
        <w:trPr>
          <w:trHeight w:val="345"/>
        </w:trPr>
        <w:tc>
          <w:tcPr>
            <w:tcW w:w="3826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млрд руб.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2016</w:t>
            </w:r>
          </w:p>
        </w:tc>
        <w:tc>
          <w:tcPr>
            <w:tcW w:w="1197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2017</w:t>
            </w:r>
          </w:p>
        </w:tc>
        <w:tc>
          <w:tcPr>
            <w:tcW w:w="1200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2018</w:t>
            </w:r>
          </w:p>
        </w:tc>
        <w:tc>
          <w:tcPr>
            <w:tcW w:w="1191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2019</w:t>
            </w:r>
          </w:p>
        </w:tc>
        <w:tc>
          <w:tcPr>
            <w:tcW w:w="1336" w:type="dxa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2020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iCs/>
              </w:rPr>
            </w:pPr>
            <w:r>
              <w:t>Собственный капитал (бухгалтерский)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iCs/>
              </w:rPr>
            </w:pPr>
            <w:r>
              <w:t>26,6</w:t>
            </w:r>
          </w:p>
        </w:tc>
        <w:tc>
          <w:tcPr>
            <w:tcW w:w="1197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iCs/>
              </w:rPr>
            </w:pPr>
            <w:r>
              <w:t>47,7</w:t>
            </w:r>
          </w:p>
        </w:tc>
        <w:tc>
          <w:tcPr>
            <w:tcW w:w="1200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iCs/>
              </w:rPr>
            </w:pPr>
            <w:r>
              <w:t>50,1</w:t>
            </w:r>
          </w:p>
        </w:tc>
        <w:tc>
          <w:tcPr>
            <w:tcW w:w="1191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iCs/>
              </w:rPr>
            </w:pPr>
            <w:r>
              <w:t>64,9</w:t>
            </w:r>
          </w:p>
        </w:tc>
        <w:tc>
          <w:tcPr>
            <w:tcW w:w="1336" w:type="dxa"/>
            <w:tcBorders>
              <w:top w:val="single" w:sz="8" w:space="0" w:color="80808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iCs/>
              </w:rPr>
            </w:pPr>
            <w:r>
              <w:t>71,4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Активы балансовые, всего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343,1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711,6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829,6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1 097,9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1 281,7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Активы, взвешенные по риску (совокупный риск банка)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342,0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574,3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671,5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812,4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Кредиты клиентам (брутто)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243,7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508,6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664,4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958,7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1 107,7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Внеоборотные активы и запасы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(4,1)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(4,3)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(4,6)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(4,5)</w:t>
            </w:r>
          </w:p>
        </w:tc>
      </w:tr>
      <w:tr w:rsidR="00261CB4">
        <w:trPr>
          <w:trHeight w:val="345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Просроченная задолженность за минусом РВПС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Дивиденды уплаченные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Прибыль до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4,8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1,0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3,7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7,9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9,2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Прибыль после налогообложения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3,8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0,1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1,5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6,4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EBF1DE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7,2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Нестабильные/ нерегулярные доходы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00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(0,1)</w:t>
            </w:r>
          </w:p>
        </w:tc>
        <w:tc>
          <w:tcPr>
            <w:tcW w:w="1191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  <w:bottom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(0,7)</w:t>
            </w:r>
          </w:p>
        </w:tc>
      </w:tr>
      <w:tr w:rsidR="00261CB4">
        <w:trPr>
          <w:trHeight w:val="330"/>
        </w:trPr>
        <w:tc>
          <w:tcPr>
            <w:tcW w:w="3826" w:type="dxa"/>
            <w:tcBorders>
              <w:top w:val="dotted" w:sz="4" w:space="0" w:color="000000"/>
            </w:tcBorders>
            <w:shd w:val="clear" w:color="000000" w:fill="FFFFFF"/>
          </w:tcPr>
          <w:p w:rsidR="00261CB4" w:rsidRDefault="00E82DCD">
            <w:pPr>
              <w:rPr>
                <w:color w:val="000000"/>
              </w:rPr>
            </w:pPr>
            <w:r>
              <w:rPr>
                <w:color w:val="000000"/>
              </w:rPr>
              <w:t>Чистый выкуп акций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7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200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191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336" w:type="dxa"/>
            <w:tcBorders>
              <w:top w:val="dotted" w:sz="4" w:space="0" w:color="00000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261CB4" w:rsidRDefault="00261CB4">
      <w:pPr>
        <w:ind w:firstLine="709"/>
        <w:rPr>
          <w:iCs/>
        </w:rPr>
      </w:pPr>
    </w:p>
    <w:p w:rsidR="00261CB4" w:rsidRDefault="00E82DCD">
      <w:pPr>
        <w:ind w:firstLine="709"/>
        <w:rPr>
          <w:iCs/>
        </w:rPr>
      </w:pPr>
      <w:r>
        <w:rPr>
          <w:iCs/>
        </w:rPr>
        <w:t>Таблица 3 – Источники прироста капитала банка, млрд руб. на 31.12 года</w:t>
      </w:r>
    </w:p>
    <w:tbl>
      <w:tblPr>
        <w:tblW w:w="9427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280"/>
        <w:gridCol w:w="4224"/>
        <w:gridCol w:w="1195"/>
        <w:gridCol w:w="1196"/>
        <w:gridCol w:w="1200"/>
        <w:gridCol w:w="1332"/>
      </w:tblGrid>
      <w:tr w:rsidR="00261CB4">
        <w:trPr>
          <w:trHeight w:val="345"/>
        </w:trPr>
        <w:tc>
          <w:tcPr>
            <w:tcW w:w="4503" w:type="dxa"/>
            <w:gridSpan w:val="2"/>
            <w:tcBorders>
              <w:bottom w:val="single" w:sz="8" w:space="0" w:color="808080"/>
            </w:tcBorders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млрд руб.</w:t>
            </w:r>
          </w:p>
        </w:tc>
        <w:tc>
          <w:tcPr>
            <w:tcW w:w="1195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96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00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32" w:type="dxa"/>
            <w:tcBorders>
              <w:bottom w:val="single" w:sz="8" w:space="0" w:color="808080"/>
            </w:tcBorders>
            <w:shd w:val="clear" w:color="000000" w:fill="FFFFFF"/>
            <w:vAlign w:val="bottom"/>
          </w:tcPr>
          <w:p w:rsidR="00261CB4" w:rsidRDefault="00E82DCD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2020</w:t>
            </w:r>
          </w:p>
        </w:tc>
      </w:tr>
      <w:tr w:rsidR="00261CB4">
        <w:trPr>
          <w:trHeight w:val="330"/>
        </w:trPr>
        <w:tc>
          <w:tcPr>
            <w:tcW w:w="4503" w:type="dxa"/>
            <w:gridSpan w:val="2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Внутренние источники</w:t>
            </w:r>
          </w:p>
        </w:tc>
        <w:tc>
          <w:tcPr>
            <w:tcW w:w="1195" w:type="dxa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Нераспределенная прибыль+ резервный капитал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3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8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</w:t>
            </w:r>
          </w:p>
        </w:tc>
      </w:tr>
      <w:tr w:rsidR="00261CB4">
        <w:trPr>
          <w:trHeight w:val="138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auto" w:fill="auto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Непокрытые убытки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4503" w:type="dxa"/>
            <w:gridSpan w:val="2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Внешние источники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42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59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Обыкновенные акции/ доли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15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Эмиссионный доход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15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Привилегированные акции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(кроме 173-ФЗ и 175-ФЗ)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22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-9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50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7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Субординированные обязательства (173-ФЗ и 175-ФЗ)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4503" w:type="dxa"/>
            <w:gridSpan w:val="2"/>
            <w:shd w:val="clear" w:color="000000" w:fill="FFFFFF"/>
          </w:tcPr>
          <w:p w:rsidR="00261CB4" w:rsidRDefault="00E82DCD">
            <w:pPr>
              <w:rPr>
                <w:sz w:val="20"/>
              </w:rPr>
            </w:pPr>
            <w:r>
              <w:rPr>
                <w:sz w:val="20"/>
              </w:rPr>
              <w:t>Прочие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Вложения в акции ДЗО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Предоставленные субординированные кредиты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outlineLv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Прочее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0</w:t>
            </w:r>
          </w:p>
        </w:tc>
      </w:tr>
      <w:tr w:rsidR="00261CB4">
        <w:trPr>
          <w:trHeight w:val="330"/>
        </w:trPr>
        <w:tc>
          <w:tcPr>
            <w:tcW w:w="279" w:type="dxa"/>
            <w:shd w:val="clear" w:color="000000" w:fill="FFFFFF"/>
          </w:tcPr>
          <w:p w:rsidR="00261CB4" w:rsidRDefault="00261CB4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224" w:type="dxa"/>
            <w:shd w:val="clear" w:color="000000" w:fill="FFFFFF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Итого прирост</w:t>
            </w:r>
          </w:p>
        </w:tc>
        <w:tc>
          <w:tcPr>
            <w:tcW w:w="1195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44</w:t>
            </w:r>
          </w:p>
        </w:tc>
        <w:tc>
          <w:tcPr>
            <w:tcW w:w="1196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-8</w:t>
            </w:r>
          </w:p>
        </w:tc>
        <w:tc>
          <w:tcPr>
            <w:tcW w:w="1200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67</w:t>
            </w:r>
          </w:p>
        </w:tc>
        <w:tc>
          <w:tcPr>
            <w:tcW w:w="1332" w:type="dxa"/>
            <w:shd w:val="clear" w:color="000000" w:fill="FFFFFF"/>
            <w:vAlign w:val="bottom"/>
          </w:tcPr>
          <w:p w:rsidR="00261CB4" w:rsidRDefault="00E82DCD">
            <w:pPr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12</w:t>
            </w:r>
          </w:p>
        </w:tc>
      </w:tr>
    </w:tbl>
    <w:p w:rsidR="00261CB4" w:rsidRDefault="00261CB4">
      <w:pPr>
        <w:ind w:firstLine="709"/>
        <w:rPr>
          <w:iCs/>
        </w:rPr>
      </w:pPr>
    </w:p>
    <w:p w:rsidR="00261CB4" w:rsidRDefault="00E82DCD">
      <w:pPr>
        <w:rPr>
          <w:iCs/>
        </w:rPr>
      </w:pPr>
      <w:proofErr w:type="gramStart"/>
      <w:r>
        <w:rPr>
          <w:iCs/>
        </w:rPr>
        <w:t xml:space="preserve">Подготовил:   </w:t>
      </w:r>
      <w:proofErr w:type="gramEnd"/>
      <w:r>
        <w:rPr>
          <w:iCs/>
        </w:rPr>
        <w:t xml:space="preserve">                                                                                            Д.А. </w:t>
      </w:r>
      <w:proofErr w:type="spellStart"/>
      <w:r>
        <w:rPr>
          <w:iCs/>
        </w:rPr>
        <w:t>Чичуленков</w:t>
      </w:r>
      <w:proofErr w:type="spellEnd"/>
    </w:p>
    <w:p w:rsidR="00261CB4" w:rsidRDefault="00261CB4">
      <w:pPr>
        <w:jc w:val="both"/>
        <w:rPr>
          <w:iCs/>
        </w:rPr>
      </w:pPr>
    </w:p>
    <w:p w:rsidR="00261CB4" w:rsidRDefault="00E82DCD">
      <w:pPr>
        <w:spacing w:after="8" w:line="360" w:lineRule="auto"/>
        <w:ind w:left="20"/>
        <w:contextualSpacing/>
        <w:jc w:val="both"/>
        <w:rPr>
          <w:iCs/>
        </w:rPr>
      </w:pPr>
      <w:r>
        <w:rPr>
          <w:rStyle w:val="11"/>
          <w:rFonts w:eastAsia="Courier New"/>
        </w:rPr>
        <w:t>Утверждаю:</w:t>
      </w:r>
    </w:p>
    <w:p w:rsidR="00261CB4" w:rsidRDefault="00E82DCD">
      <w:pPr>
        <w:jc w:val="both"/>
        <w:rPr>
          <w:iCs/>
        </w:rPr>
      </w:pPr>
      <w:r>
        <w:rPr>
          <w:iCs/>
        </w:rPr>
        <w:t xml:space="preserve">Руководитель </w:t>
      </w:r>
      <w:r>
        <w:t>Департамента</w:t>
      </w:r>
    </w:p>
    <w:p w:rsidR="00261CB4" w:rsidRDefault="00E82DCD">
      <w:pPr>
        <w:jc w:val="both"/>
        <w:rPr>
          <w:iCs/>
        </w:rPr>
      </w:pPr>
      <w:r>
        <w:t>банковского дела и монетарного регулирования</w:t>
      </w:r>
    </w:p>
    <w:p w:rsidR="00261CB4" w:rsidRDefault="00E82DCD">
      <w:pPr>
        <w:jc w:val="both"/>
        <w:rPr>
          <w:iCs/>
        </w:rPr>
      </w:pPr>
      <w:r>
        <w:rPr>
          <w:iCs/>
        </w:rPr>
        <w:t>Финансового факультета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 xml:space="preserve">            М.А. Абрамова</w:t>
      </w:r>
    </w:p>
    <w:p w:rsidR="00261CB4" w:rsidRDefault="00261CB4">
      <w:pPr>
        <w:rPr>
          <w:iCs/>
        </w:rPr>
      </w:pPr>
    </w:p>
    <w:p w:rsidR="00261CB4" w:rsidRDefault="00E82DCD">
      <w:pPr>
        <w:rPr>
          <w:sz w:val="28"/>
          <w:szCs w:val="28"/>
        </w:rPr>
      </w:pPr>
      <w:proofErr w:type="gramStart"/>
      <w:r>
        <w:rPr>
          <w:iCs/>
        </w:rPr>
        <w:t xml:space="preserve">«  </w:t>
      </w:r>
      <w:proofErr w:type="gramEnd"/>
      <w:r>
        <w:rPr>
          <w:iCs/>
        </w:rPr>
        <w:t xml:space="preserve">  »                 20   г.</w:t>
      </w:r>
    </w:p>
    <w:p w:rsidR="00261CB4" w:rsidRDefault="00261CB4">
      <w:pPr>
        <w:spacing w:line="360" w:lineRule="auto"/>
        <w:ind w:firstLine="709"/>
        <w:jc w:val="both"/>
        <w:rPr>
          <w:sz w:val="28"/>
          <w:szCs w:val="28"/>
        </w:rPr>
      </w:pP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2" w:name="_Toc115871080"/>
      <w:r>
        <w:rPr>
          <w:rFonts w:ascii="Times New Roman" w:hAnsi="Times New Roman" w:cs="Times New Roman"/>
          <w:b/>
          <w:color w:val="auto"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  <w:bookmarkEnd w:id="22"/>
    </w:p>
    <w:p w:rsidR="00261CB4" w:rsidRDefault="00E82DCD">
      <w:pPr>
        <w:pStyle w:val="afb"/>
        <w:spacing w:line="360" w:lineRule="auto"/>
        <w:ind w:left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Нормативно-правовые акты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04.07.2018 (с изменениями и дополнениями) №646-П «О методике определения величины собственных средств (капитала) кредитных организаций ("Базель III")».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03.12.2015 г. № 510-П «О порядке расчета норматива краткосрочной ликвидности («Базель III») системно значимыми кредитными организациями».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30.05.2014г. №421-П «О порядке расчета показателя краткосрочной ликвидности (Базель III)».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Инструкция Банка России от 29 ноября 2019 г. N 199-И «Об обязательных нормативах и надбавках к нормативам достаточности капитала банков с универсальной лицензией».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07.08.2017 г. № 4482-У «О форме и порядке раскрытия кредитной организацией (головной кредитной организацией банковской группы) информации о принимаемых рисках, процедурах их оценки, управления рисками и капиталом».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03.04.2017 г. № 4336-У «Об оценке экономического положения банков»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07.12.2015 №3883-У (с изменениями и дополнениями) «О порядке проведения Банком России оценки качества систем управления рисками и капиталом, достаточности капитала кредитной организации и банковской группы».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Указание Банка России от 11.06.2014 г. № 3277-У «О методиках оценки финансовой устойчивости банка в целях признания ее достаточной для участия в системе страхования вкладов».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Письмо Банка России от 09.03.2016г. №ИН-05-35/11 «О методиках и моделях, используемых Банком России при определении величины</w:t>
      </w:r>
    </w:p>
    <w:p w:rsidR="00261CB4" w:rsidRDefault="00E82DCD">
      <w:pPr>
        <w:pStyle w:val="afb"/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национальной </w:t>
      </w:r>
      <w:proofErr w:type="spellStart"/>
      <w:r>
        <w:rPr>
          <w:sz w:val="28"/>
          <w:szCs w:val="28"/>
        </w:rPr>
        <w:t>антициклической</w:t>
      </w:r>
      <w:proofErr w:type="spellEnd"/>
      <w:r>
        <w:rPr>
          <w:sz w:val="28"/>
          <w:szCs w:val="28"/>
        </w:rPr>
        <w:t xml:space="preserve"> надбавки к нормативам достаточности собственных средств (капитала)».</w:t>
      </w:r>
    </w:p>
    <w:p w:rsidR="00261CB4" w:rsidRDefault="00E82DCD">
      <w:pPr>
        <w:pStyle w:val="afb"/>
        <w:numPr>
          <w:ilvl w:val="0"/>
          <w:numId w:val="11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Положение Банка России от 15.07.2020 N 729-П «О методике определения собственных средств (капитала) и обязательных нормативов, надбавок к нормативам достаточности капитала, числовых значениях обязательных нормативов и размерах (лимитах) открытых валютных позиций банковских групп».</w:t>
      </w:r>
    </w:p>
    <w:p w:rsidR="00261CB4" w:rsidRDefault="00261CB4">
      <w:pPr>
        <w:spacing w:line="360" w:lineRule="auto"/>
        <w:jc w:val="center"/>
        <w:rPr>
          <w:b/>
          <w:sz w:val="28"/>
          <w:szCs w:val="28"/>
        </w:rPr>
      </w:pPr>
    </w:p>
    <w:p w:rsidR="00261CB4" w:rsidRDefault="00E82DC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Рекомендуемая литература</w:t>
      </w: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а) основная литература</w:t>
      </w:r>
    </w:p>
    <w:p w:rsidR="00261CB4" w:rsidRDefault="00E82DCD">
      <w:pPr>
        <w:pStyle w:val="Style41"/>
        <w:widowControl/>
        <w:numPr>
          <w:ilvl w:val="0"/>
          <w:numId w:val="2"/>
        </w:numPr>
        <w:tabs>
          <w:tab w:val="left" w:pos="781"/>
        </w:tabs>
        <w:spacing w:line="360" w:lineRule="auto"/>
        <w:jc w:val="both"/>
        <w:rPr>
          <w:rStyle w:val="FontStyle73"/>
          <w:sz w:val="28"/>
          <w:szCs w:val="28"/>
        </w:rPr>
      </w:pP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Н. И. Оценка финансовой устойчивости и перспектив деятельности кредитных </w:t>
      </w:r>
      <w:proofErr w:type="gramStart"/>
      <w:r>
        <w:rPr>
          <w:rStyle w:val="FontStyle73"/>
          <w:sz w:val="28"/>
          <w:szCs w:val="28"/>
        </w:rPr>
        <w:t>организаций :</w:t>
      </w:r>
      <w:proofErr w:type="gramEnd"/>
      <w:r>
        <w:rPr>
          <w:rStyle w:val="FontStyle73"/>
          <w:sz w:val="28"/>
          <w:szCs w:val="28"/>
        </w:rPr>
        <w:t xml:space="preserve"> учеб. для напр. магистратуры «Финансы и кредит» / Н. И. </w:t>
      </w:r>
      <w:proofErr w:type="spellStart"/>
      <w:r>
        <w:rPr>
          <w:rStyle w:val="FontStyle73"/>
          <w:sz w:val="28"/>
          <w:szCs w:val="28"/>
        </w:rPr>
        <w:t>Валенцева</w:t>
      </w:r>
      <w:proofErr w:type="spellEnd"/>
      <w:r>
        <w:rPr>
          <w:rStyle w:val="FontStyle73"/>
          <w:sz w:val="28"/>
          <w:szCs w:val="28"/>
        </w:rPr>
        <w:t xml:space="preserve">, И. В. Ларионова, Д. А. </w:t>
      </w:r>
      <w:proofErr w:type="spellStart"/>
      <w:r>
        <w:rPr>
          <w:rStyle w:val="FontStyle73"/>
          <w:sz w:val="28"/>
          <w:szCs w:val="28"/>
        </w:rPr>
        <w:t>Чичуленков</w:t>
      </w:r>
      <w:proofErr w:type="spellEnd"/>
      <w:r>
        <w:rPr>
          <w:rStyle w:val="FontStyle73"/>
          <w:sz w:val="28"/>
          <w:szCs w:val="28"/>
        </w:rPr>
        <w:t xml:space="preserve">. — 2-е изд., </w:t>
      </w:r>
      <w:proofErr w:type="spellStart"/>
      <w:r>
        <w:rPr>
          <w:rStyle w:val="FontStyle73"/>
          <w:sz w:val="28"/>
          <w:szCs w:val="28"/>
        </w:rPr>
        <w:t>перераб</w:t>
      </w:r>
      <w:proofErr w:type="spellEnd"/>
      <w:r>
        <w:rPr>
          <w:rStyle w:val="FontStyle73"/>
          <w:sz w:val="28"/>
          <w:szCs w:val="28"/>
        </w:rPr>
        <w:t xml:space="preserve">. и доп. —   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КноРус</w:t>
      </w:r>
      <w:proofErr w:type="spellEnd"/>
      <w:r>
        <w:rPr>
          <w:rStyle w:val="FontStyle73"/>
          <w:sz w:val="28"/>
          <w:szCs w:val="28"/>
        </w:rPr>
        <w:t xml:space="preserve">, 2021. — 325 с. — (Магистратура). — ISBN 978-5-406-08861-6. — ЭБС BOOK.ru. — URL:https://book.ru/book/941534 (дата обращения: 04.10.2022).  — 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61CB4" w:rsidRDefault="00E82DCD">
      <w:pPr>
        <w:pStyle w:val="Style41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Финансовые рынки в условиях цифровизации : монография / О. И. Лаврушин, А. В. Бердышев, С. В. Криворучко [и др.] ; под ред. К. В. </w:t>
      </w:r>
      <w:proofErr w:type="spellStart"/>
      <w:r>
        <w:rPr>
          <w:rStyle w:val="FontStyle73"/>
          <w:sz w:val="28"/>
          <w:szCs w:val="28"/>
        </w:rPr>
        <w:t>Криничанского</w:t>
      </w:r>
      <w:proofErr w:type="spellEnd"/>
      <w:r>
        <w:rPr>
          <w:rStyle w:val="FontStyle73"/>
          <w:sz w:val="28"/>
          <w:szCs w:val="28"/>
        </w:rPr>
        <w:t xml:space="preserve">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Русайнс</w:t>
      </w:r>
      <w:proofErr w:type="spellEnd"/>
      <w:r>
        <w:rPr>
          <w:rStyle w:val="FontStyle73"/>
          <w:sz w:val="28"/>
          <w:szCs w:val="28"/>
        </w:rPr>
        <w:t xml:space="preserve">, 2020. — 371 с. — ISBN 978-5-4365-4643-8. — ЭБС BOOK.ru. — URL: </w:t>
      </w:r>
      <w:hyperlink r:id="rId32">
        <w:r>
          <w:rPr>
            <w:sz w:val="28"/>
            <w:szCs w:val="28"/>
          </w:rPr>
          <w:t>https://book.ru/book/935994</w:t>
        </w:r>
      </w:hyperlink>
      <w:r>
        <w:rPr>
          <w:rStyle w:val="FontStyle73"/>
          <w:sz w:val="28"/>
          <w:szCs w:val="28"/>
        </w:rPr>
        <w:t xml:space="preserve"> (дата обращения: 04.10.2022).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61CB4" w:rsidRDefault="00E82DCD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Герасимова, Е. Б. Анализ финансовой устойчивости </w:t>
      </w:r>
      <w:proofErr w:type="gramStart"/>
      <w:r>
        <w:rPr>
          <w:rStyle w:val="FontStyle73"/>
          <w:sz w:val="28"/>
          <w:szCs w:val="28"/>
        </w:rPr>
        <w:t>банка :</w:t>
      </w:r>
      <w:proofErr w:type="gramEnd"/>
      <w:r>
        <w:rPr>
          <w:rStyle w:val="FontStyle73"/>
          <w:sz w:val="28"/>
          <w:szCs w:val="28"/>
        </w:rPr>
        <w:t xml:space="preserve"> 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38.04.08 «Финансы и кредит»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/ Е. Б. Герасимова.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2020. — 366 с. — (Высшее образование: Магистратура). — ISBN 978-5-16-014227-2. — ЭБС Znanium.com. — URL: </w:t>
      </w:r>
      <w:hyperlink r:id="rId33">
        <w:r>
          <w:rPr>
            <w:sz w:val="28"/>
            <w:szCs w:val="28"/>
          </w:rPr>
          <w:t>https://znanium.com/catalog/product/1067793</w:t>
        </w:r>
      </w:hyperlink>
      <w:r>
        <w:rPr>
          <w:rStyle w:val="FontStyle73"/>
          <w:sz w:val="28"/>
          <w:szCs w:val="28"/>
        </w:rPr>
        <w:t xml:space="preserve"> (дата обращения: 04.10.2022). 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 </w:t>
      </w:r>
    </w:p>
    <w:p w:rsidR="00261CB4" w:rsidRDefault="00261CB4">
      <w:pPr>
        <w:pStyle w:val="Style48"/>
        <w:widowControl/>
        <w:tabs>
          <w:tab w:val="left" w:pos="355"/>
        </w:tabs>
        <w:spacing w:line="360" w:lineRule="auto"/>
        <w:ind w:left="426" w:firstLine="0"/>
        <w:jc w:val="both"/>
        <w:rPr>
          <w:rStyle w:val="FontStyle73"/>
          <w:sz w:val="28"/>
          <w:szCs w:val="28"/>
        </w:rPr>
      </w:pPr>
    </w:p>
    <w:p w:rsidR="00261CB4" w:rsidRDefault="00E82DCD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б) дополнительная литература</w:t>
      </w:r>
    </w:p>
    <w:p w:rsidR="00261CB4" w:rsidRDefault="00E82DCD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Банковский </w:t>
      </w:r>
      <w:proofErr w:type="gramStart"/>
      <w:r>
        <w:rPr>
          <w:sz w:val="28"/>
          <w:szCs w:val="28"/>
        </w:rPr>
        <w:t>менеджмент :</w:t>
      </w:r>
      <w:proofErr w:type="gramEnd"/>
      <w:r>
        <w:rPr>
          <w:sz w:val="28"/>
          <w:szCs w:val="28"/>
        </w:rPr>
        <w:t xml:space="preserve"> учеб. для напр. бакалавриата «Экономика» и для напр. магистратуры «Финансы и кредит» / Н. И. </w:t>
      </w:r>
      <w:proofErr w:type="spellStart"/>
      <w:r>
        <w:rPr>
          <w:sz w:val="28"/>
          <w:szCs w:val="28"/>
        </w:rPr>
        <w:t>Валенцева</w:t>
      </w:r>
      <w:proofErr w:type="spellEnd"/>
      <w:r>
        <w:rPr>
          <w:sz w:val="28"/>
          <w:szCs w:val="28"/>
        </w:rPr>
        <w:t xml:space="preserve">, И. В. Ларионова, Н. А. Амосова [и др.] ; под ред. О. И. Лаврушина.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2022. — 503 с. — ISBN 978-5-406-10036-3. </w:t>
      </w:r>
      <w:r>
        <w:rPr>
          <w:rStyle w:val="FontStyle73"/>
          <w:sz w:val="28"/>
          <w:szCs w:val="28"/>
        </w:rPr>
        <w:t>— ЭБС BOOK.ru. —</w:t>
      </w:r>
      <w:r>
        <w:rPr>
          <w:sz w:val="28"/>
          <w:szCs w:val="28"/>
        </w:rPr>
        <w:t xml:space="preserve"> URL: </w:t>
      </w:r>
      <w:hyperlink r:id="rId34">
        <w:r>
          <w:rPr>
            <w:sz w:val="28"/>
            <w:szCs w:val="28"/>
          </w:rPr>
          <w:t>https://book.ru/book/944146</w:t>
        </w:r>
      </w:hyperlink>
      <w:r>
        <w:rPr>
          <w:sz w:val="28"/>
          <w:szCs w:val="28"/>
        </w:rPr>
        <w:t xml:space="preserve"> (дата обращения: </w:t>
      </w:r>
      <w:r>
        <w:rPr>
          <w:rStyle w:val="FontStyle73"/>
          <w:sz w:val="28"/>
          <w:szCs w:val="28"/>
        </w:rPr>
        <w:t>04.10.</w:t>
      </w:r>
      <w:r>
        <w:rPr>
          <w:sz w:val="28"/>
          <w:szCs w:val="28"/>
        </w:rPr>
        <w:t xml:space="preserve">2022).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61CB4" w:rsidRDefault="00E82DCD">
      <w:pPr>
        <w:pStyle w:val="Style41"/>
        <w:widowControl/>
        <w:numPr>
          <w:ilvl w:val="0"/>
          <w:numId w:val="2"/>
        </w:numPr>
        <w:tabs>
          <w:tab w:val="left" w:pos="781"/>
        </w:tabs>
        <w:spacing w:line="360" w:lineRule="auto"/>
        <w:jc w:val="both"/>
        <w:rPr>
          <w:iCs/>
        </w:rPr>
      </w:pPr>
      <w:r>
        <w:rPr>
          <w:rStyle w:val="FontStyle73"/>
          <w:sz w:val="28"/>
          <w:szCs w:val="28"/>
        </w:rPr>
        <w:t xml:space="preserve">Маркова, В. Д. Цифровая </w:t>
      </w:r>
      <w:proofErr w:type="gramStart"/>
      <w:r>
        <w:rPr>
          <w:rStyle w:val="FontStyle73"/>
          <w:sz w:val="28"/>
          <w:szCs w:val="28"/>
        </w:rPr>
        <w:t>экономика :</w:t>
      </w:r>
      <w:proofErr w:type="gramEnd"/>
      <w:r>
        <w:rPr>
          <w:rStyle w:val="FontStyle73"/>
          <w:sz w:val="28"/>
          <w:szCs w:val="28"/>
        </w:rPr>
        <w:t xml:space="preserve"> учеб.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38.03.02 «Менеджмент», 38.03.01 «Экономика»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«бакалавр») / В. Д. Маркова.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ИНФРА-М, 2022. — 186 с. — ISBN 978-5-16-013859-6. — ЭБС Znanium.com. — URL: </w:t>
      </w:r>
      <w:hyperlink r:id="rId35">
        <w:r>
          <w:rPr>
            <w:sz w:val="28"/>
            <w:szCs w:val="28"/>
          </w:rPr>
          <w:t>https://znanium.com/catalog/product/1872744</w:t>
        </w:r>
      </w:hyperlink>
      <w:r>
        <w:rPr>
          <w:rStyle w:val="FontStyle73"/>
          <w:sz w:val="28"/>
          <w:szCs w:val="28"/>
        </w:rPr>
        <w:t xml:space="preserve"> (дата обращения: 04.10.2022).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</w:t>
      </w:r>
    </w:p>
    <w:p w:rsidR="00261CB4" w:rsidRDefault="00E82DCD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Финансовая система: цифровой </w:t>
      </w:r>
      <w:proofErr w:type="gramStart"/>
      <w:r>
        <w:rPr>
          <w:sz w:val="28"/>
          <w:szCs w:val="28"/>
        </w:rPr>
        <w:t>вызов :</w:t>
      </w:r>
      <w:proofErr w:type="gramEnd"/>
      <w:r>
        <w:rPr>
          <w:sz w:val="28"/>
          <w:szCs w:val="28"/>
        </w:rPr>
        <w:t xml:space="preserve"> монография / А. Е. Абрамов, Е. Н. Алифанова, Е. Р. Безсмертная [и др.].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КноРус</w:t>
      </w:r>
      <w:proofErr w:type="spellEnd"/>
      <w:r>
        <w:rPr>
          <w:sz w:val="28"/>
          <w:szCs w:val="28"/>
        </w:rPr>
        <w:t xml:space="preserve">, 2022. — 230 с. — ISBN 978-5-406-09750-2.  </w:t>
      </w:r>
      <w:r>
        <w:rPr>
          <w:rStyle w:val="FontStyle73"/>
          <w:sz w:val="28"/>
          <w:szCs w:val="28"/>
        </w:rPr>
        <w:t xml:space="preserve">— ЭБС BOOK.ru. — </w:t>
      </w:r>
      <w:r>
        <w:rPr>
          <w:sz w:val="28"/>
          <w:szCs w:val="28"/>
        </w:rPr>
        <w:t xml:space="preserve">URL:https://book.ru/book/943662 (дата обращения: </w:t>
      </w:r>
      <w:r>
        <w:rPr>
          <w:rStyle w:val="FontStyle73"/>
          <w:sz w:val="28"/>
          <w:szCs w:val="28"/>
        </w:rPr>
        <w:t>04.10.</w:t>
      </w:r>
      <w:r>
        <w:rPr>
          <w:sz w:val="28"/>
          <w:szCs w:val="28"/>
        </w:rPr>
        <w:t xml:space="preserve">2022). 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61CB4" w:rsidRDefault="00E82DCD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szCs w:val="28"/>
        </w:rPr>
      </w:pPr>
      <w:r>
        <w:rPr>
          <w:sz w:val="28"/>
          <w:szCs w:val="28"/>
        </w:rPr>
        <w:t xml:space="preserve">Цифровой </w:t>
      </w:r>
      <w:proofErr w:type="gramStart"/>
      <w:r>
        <w:rPr>
          <w:sz w:val="28"/>
          <w:szCs w:val="28"/>
        </w:rPr>
        <w:t>бизнес :</w:t>
      </w:r>
      <w:proofErr w:type="gramEnd"/>
      <w:r>
        <w:rPr>
          <w:sz w:val="28"/>
          <w:szCs w:val="28"/>
        </w:rPr>
        <w:t xml:space="preserve">  </w:t>
      </w:r>
      <w:r>
        <w:rPr>
          <w:rStyle w:val="FontStyle73"/>
          <w:sz w:val="28"/>
          <w:szCs w:val="28"/>
        </w:rPr>
        <w:t xml:space="preserve">учеб.  для студентов вузов, </w:t>
      </w:r>
      <w:proofErr w:type="spellStart"/>
      <w:r>
        <w:rPr>
          <w:rStyle w:val="FontStyle73"/>
          <w:sz w:val="28"/>
          <w:szCs w:val="28"/>
        </w:rPr>
        <w:t>обуч</w:t>
      </w:r>
      <w:proofErr w:type="spellEnd"/>
      <w:r>
        <w:rPr>
          <w:rStyle w:val="FontStyle73"/>
          <w:sz w:val="28"/>
          <w:szCs w:val="28"/>
        </w:rPr>
        <w:t xml:space="preserve">. по напр. </w:t>
      </w:r>
      <w:proofErr w:type="spellStart"/>
      <w:r>
        <w:rPr>
          <w:rStyle w:val="FontStyle73"/>
          <w:sz w:val="28"/>
          <w:szCs w:val="28"/>
        </w:rPr>
        <w:t>подгот</w:t>
      </w:r>
      <w:proofErr w:type="spellEnd"/>
      <w:r>
        <w:rPr>
          <w:rStyle w:val="FontStyle73"/>
          <w:sz w:val="28"/>
          <w:szCs w:val="28"/>
        </w:rPr>
        <w:t>.  38.04.01 «Экономика», 38.04.02 «Менеджмент» (</w:t>
      </w:r>
      <w:proofErr w:type="spellStart"/>
      <w:r>
        <w:rPr>
          <w:rStyle w:val="FontStyle73"/>
          <w:sz w:val="28"/>
          <w:szCs w:val="28"/>
        </w:rPr>
        <w:t>квалиф</w:t>
      </w:r>
      <w:proofErr w:type="spellEnd"/>
      <w:r>
        <w:rPr>
          <w:rStyle w:val="FontStyle73"/>
          <w:sz w:val="28"/>
          <w:szCs w:val="28"/>
        </w:rPr>
        <w:t xml:space="preserve">. (степень) «магистр») </w:t>
      </w:r>
      <w:r>
        <w:rPr>
          <w:sz w:val="28"/>
          <w:szCs w:val="28"/>
        </w:rPr>
        <w:t xml:space="preserve">/ О. В. </w:t>
      </w:r>
      <w:proofErr w:type="spellStart"/>
      <w:r>
        <w:rPr>
          <w:sz w:val="28"/>
          <w:szCs w:val="28"/>
        </w:rPr>
        <w:t>Китова</w:t>
      </w:r>
      <w:proofErr w:type="spellEnd"/>
      <w:r>
        <w:rPr>
          <w:sz w:val="28"/>
          <w:szCs w:val="28"/>
        </w:rPr>
        <w:t xml:space="preserve">, С. Н. </w:t>
      </w:r>
      <w:proofErr w:type="spellStart"/>
      <w:r>
        <w:rPr>
          <w:sz w:val="28"/>
          <w:szCs w:val="28"/>
        </w:rPr>
        <w:t>Брускин</w:t>
      </w:r>
      <w:proofErr w:type="spellEnd"/>
      <w:r>
        <w:rPr>
          <w:sz w:val="28"/>
          <w:szCs w:val="28"/>
        </w:rPr>
        <w:t>, Л. П. Дьяконова [и др.</w:t>
      </w:r>
      <w:proofErr w:type="gramStart"/>
      <w:r>
        <w:rPr>
          <w:sz w:val="28"/>
          <w:szCs w:val="28"/>
        </w:rPr>
        <w:t>] ;</w:t>
      </w:r>
      <w:proofErr w:type="gramEnd"/>
      <w:r>
        <w:rPr>
          <w:sz w:val="28"/>
          <w:szCs w:val="28"/>
        </w:rPr>
        <w:t xml:space="preserve"> под науч. ред. О. В. Китовой. — </w:t>
      </w:r>
      <w:proofErr w:type="gramStart"/>
      <w:r>
        <w:rPr>
          <w:sz w:val="28"/>
          <w:szCs w:val="28"/>
        </w:rPr>
        <w:t>Москва :</w:t>
      </w:r>
      <w:proofErr w:type="gramEnd"/>
      <w:r>
        <w:rPr>
          <w:sz w:val="28"/>
          <w:szCs w:val="28"/>
        </w:rPr>
        <w:t xml:space="preserve"> ИНФРА-М, 2021. — 418 с.  </w:t>
      </w:r>
      <w:r>
        <w:rPr>
          <w:rStyle w:val="FontStyle73"/>
          <w:sz w:val="28"/>
          <w:szCs w:val="28"/>
        </w:rPr>
        <w:t xml:space="preserve">— </w:t>
      </w:r>
      <w:r>
        <w:rPr>
          <w:sz w:val="28"/>
          <w:szCs w:val="28"/>
        </w:rPr>
        <w:t xml:space="preserve">ISBN 978-5-16-013017-0. </w:t>
      </w:r>
      <w:r>
        <w:rPr>
          <w:rStyle w:val="FontStyle73"/>
          <w:sz w:val="28"/>
          <w:szCs w:val="28"/>
        </w:rPr>
        <w:t>— ЭБС Znanium.com. —</w:t>
      </w:r>
      <w:r>
        <w:rPr>
          <w:sz w:val="28"/>
          <w:szCs w:val="28"/>
        </w:rPr>
        <w:t xml:space="preserve"> URL: </w:t>
      </w:r>
      <w:hyperlink r:id="rId36">
        <w:r>
          <w:rPr>
            <w:sz w:val="28"/>
            <w:szCs w:val="28"/>
          </w:rPr>
          <w:t>https://znanium.com/catalog/product/1659834</w:t>
        </w:r>
      </w:hyperlink>
      <w:r>
        <w:rPr>
          <w:sz w:val="28"/>
          <w:szCs w:val="28"/>
        </w:rPr>
        <w:t xml:space="preserve"> (дата обращения: </w:t>
      </w:r>
      <w:r>
        <w:rPr>
          <w:rStyle w:val="FontStyle73"/>
          <w:sz w:val="28"/>
          <w:szCs w:val="28"/>
        </w:rPr>
        <w:t>04.10.</w:t>
      </w:r>
      <w:r>
        <w:rPr>
          <w:sz w:val="28"/>
          <w:szCs w:val="28"/>
        </w:rPr>
        <w:t xml:space="preserve">2022).  </w:t>
      </w:r>
      <w:r>
        <w:rPr>
          <w:rStyle w:val="FontStyle73"/>
          <w:sz w:val="28"/>
          <w:szCs w:val="28"/>
        </w:rPr>
        <w:t xml:space="preserve">— </w:t>
      </w:r>
      <w:proofErr w:type="gramStart"/>
      <w:r>
        <w:rPr>
          <w:sz w:val="28"/>
          <w:szCs w:val="28"/>
        </w:rPr>
        <w:t>Текст :</w:t>
      </w:r>
      <w:proofErr w:type="gramEnd"/>
      <w:r>
        <w:rPr>
          <w:sz w:val="28"/>
          <w:szCs w:val="28"/>
        </w:rPr>
        <w:t xml:space="preserve"> электронный.</w:t>
      </w:r>
    </w:p>
    <w:p w:rsidR="00261CB4" w:rsidRDefault="00E82DCD">
      <w:pPr>
        <w:pStyle w:val="Style48"/>
        <w:widowControl/>
        <w:numPr>
          <w:ilvl w:val="0"/>
          <w:numId w:val="2"/>
        </w:numPr>
        <w:tabs>
          <w:tab w:val="left" w:pos="355"/>
        </w:tabs>
        <w:spacing w:line="360" w:lineRule="auto"/>
        <w:jc w:val="both"/>
        <w:rPr>
          <w:rStyle w:val="FontStyle73"/>
          <w:sz w:val="28"/>
          <w:szCs w:val="28"/>
        </w:rPr>
      </w:pPr>
      <w:r>
        <w:rPr>
          <w:rStyle w:val="FontStyle73"/>
          <w:sz w:val="28"/>
          <w:szCs w:val="28"/>
        </w:rPr>
        <w:t xml:space="preserve">Цифровизация финансовых рынков: новые </w:t>
      </w:r>
      <w:proofErr w:type="gramStart"/>
      <w:r>
        <w:rPr>
          <w:rStyle w:val="FontStyle73"/>
          <w:sz w:val="28"/>
          <w:szCs w:val="28"/>
        </w:rPr>
        <w:t>компетенции :</w:t>
      </w:r>
      <w:proofErr w:type="gramEnd"/>
      <w:r>
        <w:rPr>
          <w:rStyle w:val="FontStyle73"/>
          <w:sz w:val="28"/>
          <w:szCs w:val="28"/>
        </w:rPr>
        <w:t xml:space="preserve"> монография / И. А. </w:t>
      </w:r>
      <w:proofErr w:type="spellStart"/>
      <w:r>
        <w:rPr>
          <w:rStyle w:val="FontStyle73"/>
          <w:sz w:val="28"/>
          <w:szCs w:val="28"/>
        </w:rPr>
        <w:t>Баздырев</w:t>
      </w:r>
      <w:proofErr w:type="spellEnd"/>
      <w:r>
        <w:rPr>
          <w:rStyle w:val="FontStyle73"/>
          <w:sz w:val="28"/>
          <w:szCs w:val="28"/>
        </w:rPr>
        <w:t xml:space="preserve">, Э. И. </w:t>
      </w:r>
      <w:proofErr w:type="spellStart"/>
      <w:r>
        <w:rPr>
          <w:rStyle w:val="FontStyle73"/>
          <w:sz w:val="28"/>
          <w:szCs w:val="28"/>
        </w:rPr>
        <w:t>Гибадуллин</w:t>
      </w:r>
      <w:proofErr w:type="spellEnd"/>
      <w:r>
        <w:rPr>
          <w:rStyle w:val="FontStyle73"/>
          <w:sz w:val="28"/>
          <w:szCs w:val="28"/>
        </w:rPr>
        <w:t xml:space="preserve">, Д. Р. </w:t>
      </w:r>
      <w:proofErr w:type="spellStart"/>
      <w:r>
        <w:rPr>
          <w:rStyle w:val="FontStyle73"/>
          <w:sz w:val="28"/>
          <w:szCs w:val="28"/>
        </w:rPr>
        <w:t>Дидигов</w:t>
      </w:r>
      <w:proofErr w:type="spellEnd"/>
      <w:r>
        <w:rPr>
          <w:rStyle w:val="FontStyle73"/>
          <w:sz w:val="28"/>
          <w:szCs w:val="28"/>
        </w:rPr>
        <w:t xml:space="preserve"> [и др.] ; под ред. К. В. </w:t>
      </w:r>
      <w:proofErr w:type="spellStart"/>
      <w:r>
        <w:rPr>
          <w:rStyle w:val="FontStyle73"/>
          <w:sz w:val="28"/>
          <w:szCs w:val="28"/>
        </w:rPr>
        <w:t>Криничанского</w:t>
      </w:r>
      <w:proofErr w:type="spellEnd"/>
      <w:r>
        <w:rPr>
          <w:rStyle w:val="FontStyle73"/>
          <w:sz w:val="28"/>
          <w:szCs w:val="28"/>
        </w:rPr>
        <w:t xml:space="preserve">, Б. Б. Рубцова. — </w:t>
      </w:r>
      <w:proofErr w:type="gramStart"/>
      <w:r>
        <w:rPr>
          <w:rStyle w:val="FontStyle73"/>
          <w:sz w:val="28"/>
          <w:szCs w:val="28"/>
        </w:rPr>
        <w:t>Москва :</w:t>
      </w:r>
      <w:proofErr w:type="gramEnd"/>
      <w:r>
        <w:rPr>
          <w:rStyle w:val="FontStyle73"/>
          <w:sz w:val="28"/>
          <w:szCs w:val="28"/>
        </w:rPr>
        <w:t xml:space="preserve"> </w:t>
      </w:r>
      <w:proofErr w:type="spellStart"/>
      <w:r>
        <w:rPr>
          <w:rStyle w:val="FontStyle73"/>
          <w:sz w:val="28"/>
          <w:szCs w:val="28"/>
        </w:rPr>
        <w:t>Русайнс</w:t>
      </w:r>
      <w:proofErr w:type="spellEnd"/>
      <w:r>
        <w:rPr>
          <w:rStyle w:val="FontStyle73"/>
          <w:sz w:val="28"/>
          <w:szCs w:val="28"/>
        </w:rPr>
        <w:t xml:space="preserve">, 2021. — 126 с. — ISBN 978-5-4365-7121-8. — ЭБС BOOK.ru. — URL: </w:t>
      </w:r>
      <w:hyperlink r:id="rId37">
        <w:r>
          <w:rPr>
            <w:sz w:val="28"/>
            <w:szCs w:val="28"/>
          </w:rPr>
          <w:t>https://book.ru/book/940280</w:t>
        </w:r>
      </w:hyperlink>
      <w:r>
        <w:rPr>
          <w:rStyle w:val="FontStyle73"/>
          <w:sz w:val="28"/>
          <w:szCs w:val="28"/>
        </w:rPr>
        <w:t xml:space="preserve"> (дата обращения: 04.10.2022). — </w:t>
      </w:r>
      <w:proofErr w:type="gramStart"/>
      <w:r>
        <w:rPr>
          <w:rStyle w:val="FontStyle73"/>
          <w:sz w:val="28"/>
          <w:szCs w:val="28"/>
        </w:rPr>
        <w:t>Текст :</w:t>
      </w:r>
      <w:proofErr w:type="gramEnd"/>
      <w:r>
        <w:rPr>
          <w:rStyle w:val="FontStyle73"/>
          <w:sz w:val="28"/>
          <w:szCs w:val="28"/>
        </w:rPr>
        <w:t xml:space="preserve"> электронный. </w:t>
      </w:r>
    </w:p>
    <w:p w:rsidR="00261CB4" w:rsidRDefault="00261CB4">
      <w:pPr>
        <w:pStyle w:val="afb"/>
        <w:widowControl/>
        <w:spacing w:line="276" w:lineRule="auto"/>
        <w:ind w:left="720"/>
        <w:contextualSpacing/>
        <w:jc w:val="both"/>
        <w:rPr>
          <w:rFonts w:ascii="Arial" w:hAnsi="Arial" w:cs="Arial"/>
          <w:sz w:val="24"/>
          <w:szCs w:val="24"/>
        </w:rPr>
      </w:pPr>
    </w:p>
    <w:p w:rsidR="00261CB4" w:rsidRDefault="00261CB4">
      <w:pPr>
        <w:jc w:val="both"/>
        <w:rPr>
          <w:sz w:val="28"/>
          <w:szCs w:val="28"/>
        </w:rPr>
      </w:pP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Toc115871081"/>
      <w:r>
        <w:rPr>
          <w:rFonts w:ascii="Times New Roman" w:hAnsi="Times New Roman" w:cs="Times New Roman"/>
          <w:b/>
          <w:color w:val="auto"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  <w:bookmarkEnd w:id="23"/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Банк России. Раскрытие информации кредитными организациями. </w:t>
      </w:r>
      <w:r>
        <w:rPr>
          <w:sz w:val="28"/>
          <w:szCs w:val="28"/>
          <w:lang w:val="en-US"/>
        </w:rPr>
        <w:t xml:space="preserve">URL: </w:t>
      </w:r>
      <w:hyperlink r:id="rId38">
        <w:r>
          <w:rPr>
            <w:sz w:val="28"/>
            <w:szCs w:val="28"/>
            <w:lang w:val="en-US"/>
          </w:rPr>
          <w:t>http://www.cbr.ru/banking_sector/otchetnost-kreditnykh-organizaciy/transparent</w:t>
        </w:r>
      </w:hyperlink>
      <w:hyperlink r:id="rId39">
        <w:r>
          <w:rPr>
            <w:sz w:val="28"/>
            <w:szCs w:val="28"/>
            <w:lang w:val="en-US"/>
          </w:rPr>
          <w:t>/</w:t>
        </w:r>
      </w:hyperlink>
      <w:r>
        <w:rPr>
          <w:sz w:val="28"/>
          <w:szCs w:val="28"/>
          <w:lang w:val="en-US"/>
        </w:rPr>
        <w:t xml:space="preserve">. </w:t>
      </w:r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Портал арбитражных дел «Электронное правосудие». </w:t>
      </w:r>
      <w:r>
        <w:rPr>
          <w:sz w:val="28"/>
          <w:szCs w:val="28"/>
          <w:lang w:val="en-US"/>
        </w:rPr>
        <w:t xml:space="preserve">URL: </w:t>
      </w:r>
      <w:hyperlink r:id="rId40">
        <w:r>
          <w:rPr>
            <w:sz w:val="28"/>
            <w:szCs w:val="28"/>
            <w:lang w:val="en-US"/>
          </w:rPr>
          <w:t>https://kad.arbitr.ru/</w:t>
        </w:r>
      </w:hyperlink>
      <w:r>
        <w:rPr>
          <w:sz w:val="28"/>
          <w:szCs w:val="28"/>
          <w:lang w:val="en-US"/>
        </w:rPr>
        <w:t>.</w:t>
      </w:r>
    </w:p>
    <w:p w:rsidR="00261CB4" w:rsidRDefault="00E82DCD">
      <w:pPr>
        <w:pStyle w:val="afb"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Портал банковского аналитика.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1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</w:hyperlink>
      <w:hyperlink r:id="rId42">
        <w:proofErr w:type="spellStart"/>
        <w:r>
          <w:rPr>
            <w:bCs/>
            <w:sz w:val="28"/>
            <w:szCs w:val="28"/>
            <w:lang w:val="en-US"/>
          </w:rPr>
          <w:t>analizbankov</w:t>
        </w:r>
        <w:proofErr w:type="spellEnd"/>
      </w:hyperlink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  <w:r>
        <w:rPr>
          <w:bCs/>
          <w:sz w:val="28"/>
          <w:szCs w:val="28"/>
        </w:rPr>
        <w:t>/</w:t>
      </w:r>
      <w:r>
        <w:rPr>
          <w:bCs/>
          <w:sz w:val="28"/>
          <w:szCs w:val="28"/>
          <w:lang w:val="en-US"/>
        </w:rPr>
        <w:t>bank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php</w:t>
      </w:r>
      <w:proofErr w:type="spellEnd"/>
    </w:p>
    <w:p w:rsidR="00261CB4" w:rsidRDefault="00E82DCD">
      <w:pPr>
        <w:pStyle w:val="afb"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  <w:lang w:val="en-US"/>
        </w:rPr>
      </w:pPr>
      <w:r>
        <w:rPr>
          <w:bCs/>
          <w:sz w:val="28"/>
          <w:szCs w:val="28"/>
        </w:rPr>
        <w:t xml:space="preserve">Приложение для бизнес-аналитики </w:t>
      </w:r>
      <w:r>
        <w:rPr>
          <w:bCs/>
          <w:sz w:val="28"/>
          <w:szCs w:val="28"/>
          <w:lang w:val="en-US"/>
        </w:rPr>
        <w:t>MS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Power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BI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  <w:lang w:val="en-US"/>
        </w:rPr>
        <w:t>Desktop</w:t>
      </w:r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3">
        <w:r>
          <w:rPr>
            <w:bCs/>
            <w:sz w:val="28"/>
            <w:szCs w:val="28"/>
            <w:lang w:val="en-US"/>
          </w:rPr>
          <w:t>https://</w:t>
        </w:r>
      </w:hyperlink>
      <w:hyperlink r:id="rId44">
        <w:r>
          <w:rPr>
            <w:bCs/>
            <w:sz w:val="28"/>
            <w:szCs w:val="28"/>
            <w:lang w:val="en-US"/>
          </w:rPr>
          <w:t>www.microsoft.com/ru-RU/download/details.aspx?id=58494</w:t>
        </w:r>
      </w:hyperlink>
      <w:r>
        <w:rPr>
          <w:bCs/>
          <w:sz w:val="28"/>
          <w:szCs w:val="28"/>
          <w:lang w:val="en-US"/>
        </w:rPr>
        <w:t xml:space="preserve"> </w:t>
      </w:r>
    </w:p>
    <w:p w:rsidR="00261CB4" w:rsidRDefault="00E82DCD">
      <w:pPr>
        <w:pStyle w:val="afb"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Система управления проектами </w:t>
      </w:r>
      <w:proofErr w:type="spellStart"/>
      <w:r>
        <w:rPr>
          <w:bCs/>
          <w:sz w:val="28"/>
          <w:szCs w:val="28"/>
          <w:lang w:val="en-US"/>
        </w:rPr>
        <w:t>YouGile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>URL</w:t>
      </w:r>
      <w:r>
        <w:rPr>
          <w:bCs/>
          <w:sz w:val="28"/>
          <w:szCs w:val="28"/>
        </w:rPr>
        <w:t xml:space="preserve">: </w:t>
      </w:r>
      <w:hyperlink r:id="rId45">
        <w:r>
          <w:rPr>
            <w:bCs/>
            <w:sz w:val="28"/>
            <w:szCs w:val="28"/>
            <w:lang w:val="en-US"/>
          </w:rPr>
          <w:t>https</w:t>
        </w:r>
        <w:r>
          <w:rPr>
            <w:bCs/>
            <w:sz w:val="28"/>
            <w:szCs w:val="28"/>
          </w:rPr>
          <w:t>://</w:t>
        </w:r>
        <w:proofErr w:type="spellStart"/>
        <w:r>
          <w:rPr>
            <w:bCs/>
            <w:sz w:val="28"/>
            <w:szCs w:val="28"/>
            <w:lang w:val="en-US"/>
          </w:rPr>
          <w:t>ru</w:t>
        </w:r>
        <w:proofErr w:type="spellEnd"/>
        <w:r>
          <w:rPr>
            <w:bCs/>
            <w:sz w:val="28"/>
            <w:szCs w:val="28"/>
          </w:rPr>
          <w:t>.</w:t>
        </w:r>
        <w:proofErr w:type="spellStart"/>
        <w:r>
          <w:rPr>
            <w:bCs/>
            <w:sz w:val="28"/>
            <w:szCs w:val="28"/>
            <w:lang w:val="en-US"/>
          </w:rPr>
          <w:t>yougile</w:t>
        </w:r>
        <w:proofErr w:type="spellEnd"/>
        <w:r>
          <w:rPr>
            <w:bCs/>
            <w:sz w:val="28"/>
            <w:szCs w:val="28"/>
          </w:rPr>
          <w:t>.</w:t>
        </w:r>
        <w:r>
          <w:rPr>
            <w:bCs/>
            <w:sz w:val="28"/>
            <w:szCs w:val="28"/>
            <w:lang w:val="en-US"/>
          </w:rPr>
          <w:t>com</w:t>
        </w:r>
      </w:hyperlink>
      <w:hyperlink r:id="rId46">
        <w:r>
          <w:rPr>
            <w:bCs/>
            <w:sz w:val="28"/>
            <w:szCs w:val="28"/>
          </w:rPr>
          <w:t>/</w:t>
        </w:r>
      </w:hyperlink>
    </w:p>
    <w:p w:rsidR="00261CB4" w:rsidRDefault="00E82DCD">
      <w:pPr>
        <w:pStyle w:val="afb"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  <w:lang w:val="en-US"/>
        </w:rPr>
      </w:pPr>
      <w:r>
        <w:rPr>
          <w:bCs/>
          <w:sz w:val="28"/>
          <w:szCs w:val="28"/>
        </w:rPr>
        <w:t xml:space="preserve">Сервис визуализации и анализа данных от </w:t>
      </w:r>
      <w:proofErr w:type="spellStart"/>
      <w:r>
        <w:rPr>
          <w:bCs/>
          <w:sz w:val="28"/>
          <w:szCs w:val="28"/>
        </w:rPr>
        <w:t>Yandex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Cloud</w:t>
      </w:r>
      <w:proofErr w:type="spellEnd"/>
      <w:r>
        <w:rPr>
          <w:bCs/>
          <w:sz w:val="28"/>
          <w:szCs w:val="28"/>
        </w:rPr>
        <w:t xml:space="preserve">. </w:t>
      </w:r>
      <w:r>
        <w:rPr>
          <w:bCs/>
          <w:sz w:val="28"/>
          <w:szCs w:val="28"/>
          <w:lang w:val="en-US"/>
        </w:rPr>
        <w:t xml:space="preserve">URL: </w:t>
      </w:r>
      <w:hyperlink r:id="rId47">
        <w:r>
          <w:rPr>
            <w:bCs/>
            <w:sz w:val="28"/>
            <w:szCs w:val="28"/>
            <w:lang w:val="en-US"/>
          </w:rPr>
          <w:t>https://cloud.yandex.ru/docs/datalens</w:t>
        </w:r>
      </w:hyperlink>
      <w:hyperlink r:id="rId48">
        <w:r>
          <w:rPr>
            <w:bCs/>
            <w:sz w:val="28"/>
            <w:szCs w:val="28"/>
            <w:lang w:val="en-US"/>
          </w:rPr>
          <w:t>/</w:t>
        </w:r>
      </w:hyperlink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Центр раскрытия корпоративной информации Интерфакс. </w:t>
      </w:r>
      <w:r>
        <w:rPr>
          <w:sz w:val="28"/>
          <w:szCs w:val="28"/>
          <w:lang w:val="en-US"/>
        </w:rPr>
        <w:t xml:space="preserve">URL: </w:t>
      </w:r>
      <w:hyperlink r:id="rId49">
        <w:r>
          <w:rPr>
            <w:sz w:val="28"/>
            <w:szCs w:val="28"/>
            <w:lang w:val="en-US"/>
          </w:rPr>
          <w:t>https://e-disclosure.ru/?attempt=1</w:t>
        </w:r>
      </w:hyperlink>
      <w:r>
        <w:rPr>
          <w:sz w:val="28"/>
          <w:szCs w:val="28"/>
          <w:lang w:val="en-US"/>
        </w:rPr>
        <w:t xml:space="preserve">. </w:t>
      </w:r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Электронная библиотека Финансового университета (ЭБ) http://elib.fa.ru/</w:t>
      </w:r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>Электронно-библиотечная система BOOK.RU http://www.book.ru</w:t>
      </w:r>
    </w:p>
    <w:p w:rsidR="00261CB4" w:rsidRDefault="00E82DCD">
      <w:pPr>
        <w:pStyle w:val="afb"/>
        <w:widowControl/>
        <w:numPr>
          <w:ilvl w:val="0"/>
          <w:numId w:val="13"/>
        </w:numPr>
        <w:spacing w:after="120" w:line="276" w:lineRule="auto"/>
        <w:ind w:left="567" w:hanging="567"/>
        <w:jc w:val="both"/>
        <w:rPr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Электронно-библиотечная система </w:t>
      </w:r>
      <w:proofErr w:type="spellStart"/>
      <w:r>
        <w:rPr>
          <w:color w:val="000000" w:themeColor="text1"/>
          <w:sz w:val="28"/>
          <w:szCs w:val="28"/>
          <w:lang w:val="en-US"/>
        </w:rPr>
        <w:t>Znanium</w:t>
      </w:r>
      <w:proofErr w:type="spellEnd"/>
      <w:r>
        <w:rPr>
          <w:color w:val="000000" w:themeColor="text1"/>
          <w:sz w:val="28"/>
          <w:szCs w:val="28"/>
        </w:rPr>
        <w:t xml:space="preserve"> </w:t>
      </w:r>
      <w:hyperlink r:id="rId50">
        <w:r>
          <w:rPr>
            <w:color w:val="000000" w:themeColor="text1"/>
            <w:sz w:val="28"/>
            <w:szCs w:val="28"/>
          </w:rPr>
          <w:t>http://www.znanium.com</w:t>
        </w:r>
      </w:hyperlink>
    </w:p>
    <w:p w:rsidR="00261CB4" w:rsidRDefault="00261CB4">
      <w:pPr>
        <w:keepNext/>
        <w:jc w:val="both"/>
        <w:rPr>
          <w:sz w:val="28"/>
          <w:szCs w:val="28"/>
        </w:rPr>
      </w:pP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4" w:name="_Toc115871082"/>
      <w:r>
        <w:rPr>
          <w:rFonts w:ascii="Times New Roman" w:hAnsi="Times New Roman" w:cs="Times New Roman"/>
          <w:b/>
          <w:color w:val="auto"/>
          <w:sz w:val="28"/>
          <w:szCs w:val="28"/>
        </w:rPr>
        <w:t>10. Методические указания для обучающихся по освоению дисциплины</w:t>
      </w:r>
      <w:bookmarkEnd w:id="24"/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Целью методических рекомендаций для студентов является обеспечение оптимальной организации процесса изучения дисциплины и выполнения различных форм самостоятельной работы.</w:t>
      </w:r>
    </w:p>
    <w:p w:rsidR="00261CB4" w:rsidRDefault="00E82DCD">
      <w:pPr>
        <w:spacing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рекомендации по изучению дисциплины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Изучение дисциплины «Оценка финансовой устойчивости и перспектив деятельности кредитной организации» следует начинать с предварительного ознакомления с рабочей программой дисциплины. Прежде всего, необходимо ознакомиться с содержанием рабочей программы дисциплины, с целями и </w:t>
      </w:r>
      <w:r>
        <w:rPr>
          <w:sz w:val="28"/>
          <w:szCs w:val="28"/>
        </w:rPr>
        <w:lastRenderedPageBreak/>
        <w:t>задачами, сформулированными в данной дисциплине, ее связями с другими дисциплинами образовательной программы, методическими разработками по данной дисциплине, имеющимися на образовательном портале и сайте Департамента, с графиком консультаций преподавателей кафедры.</w:t>
      </w:r>
    </w:p>
    <w:p w:rsidR="00261CB4" w:rsidRDefault="00E82DCD">
      <w:pPr>
        <w:spacing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Рекомендации по подготовке к практическим (семинарским) занятиям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Целью семинарских занятий является усвоение студентами теоретических основ изучаемой дисциплины, на практических занятиях – получение профессиональных навыков в области разработки и внедрения современных методов корпоративного управления.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этой связи студентам необходимо:</w:t>
      </w:r>
    </w:p>
    <w:p w:rsidR="00261CB4" w:rsidRDefault="00E82DCD">
      <w:pPr>
        <w:pStyle w:val="afb"/>
        <w:numPr>
          <w:ilvl w:val="0"/>
          <w:numId w:val="3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 подготовке к очередному семинарскому занятию по лекциям, учебникам и литературным источникам проработать теоретический материал, соответствующей темы занятия;</w:t>
      </w:r>
    </w:p>
    <w:p w:rsidR="00261CB4" w:rsidRDefault="00E82DCD">
      <w:pPr>
        <w:pStyle w:val="afb"/>
        <w:numPr>
          <w:ilvl w:val="0"/>
          <w:numId w:val="3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 подготовке к практическим занятиям обязательно использовать наряду с лекциями и учебной литературой, положения, инструкции и письма Банка России;</w:t>
      </w:r>
    </w:p>
    <w:p w:rsidR="00261CB4" w:rsidRDefault="00E82DCD">
      <w:pPr>
        <w:pStyle w:val="afb"/>
        <w:numPr>
          <w:ilvl w:val="0"/>
          <w:numId w:val="3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теоретический материал увязывать с действующими законодательными и нормативными актами, так как в них могут быть внесены изменения, дополнения, которые не всегда отражены в учебной литературе;</w:t>
      </w:r>
    </w:p>
    <w:p w:rsidR="00261CB4" w:rsidRDefault="00E82DCD">
      <w:pPr>
        <w:pStyle w:val="afb"/>
        <w:numPr>
          <w:ilvl w:val="0"/>
          <w:numId w:val="3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начале занятий задать преподавателю вопросы по материалу, вызвавшему затруднения в его понимании и освоении;</w:t>
      </w:r>
    </w:p>
    <w:p w:rsidR="00261CB4" w:rsidRDefault="00E82DCD">
      <w:pPr>
        <w:pStyle w:val="afb"/>
        <w:numPr>
          <w:ilvl w:val="0"/>
          <w:numId w:val="3"/>
        </w:numPr>
        <w:spacing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ходе семинара давать конкретные, четкие ответы по существу вопросов;</w:t>
      </w:r>
    </w:p>
    <w:p w:rsidR="00261CB4" w:rsidRDefault="00E82DCD">
      <w:pPr>
        <w:pStyle w:val="afb"/>
        <w:widowControl/>
        <w:numPr>
          <w:ilvl w:val="0"/>
          <w:numId w:val="3"/>
        </w:numPr>
        <w:spacing w:after="200" w:line="360" w:lineRule="auto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 занятии доводить каждое задание до завершения, демонстрировать понимание проведенных расчетов (анализов, ситуаций), в случае затруднений обращаться к преподавателю.</w:t>
      </w:r>
    </w:p>
    <w:p w:rsidR="00261CB4" w:rsidRDefault="00E82DCD">
      <w:pPr>
        <w:spacing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рекомендации по выполнению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различных форм</w:t>
      </w:r>
    </w:p>
    <w:p w:rsidR="00261CB4" w:rsidRDefault="00E82DCD">
      <w:pPr>
        <w:spacing w:line="360" w:lineRule="auto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самостоятельных домашних заданий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Самостоятельная работа студентов по дисциплине «Оценка финансовой </w:t>
      </w:r>
      <w:r>
        <w:rPr>
          <w:sz w:val="28"/>
          <w:szCs w:val="28"/>
        </w:rPr>
        <w:lastRenderedPageBreak/>
        <w:t xml:space="preserve">устойчивости и перспектив деятельности кредитной организации» включает в себя выполнение следующих видов заданий: 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изучение федеральных законов, относящихся к деятельности кредитных организаций, инструкций, положений и писем Банка России по изучаемым вопросам; 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рассмотрение ситуационных задач (кейсов), способствующих приобретению практических навыков по оценке эффективности модели корпоративного управления в банке, решение ситуационных задач по темам;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контрольной работы.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Целью выполнения различных форм самостоятельной работы является подготовка будущего магистра к творческой деятельности научного, практического или методологического характера, а также формирование навыков творческого представления полученных результатов.     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Оценка выполненного задания осуществляется в процессе текущего контроля успеваемости магистров.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Текущий контроль успеваемости осуществляется путем регулярной проверки выполнения магистром в течение семестра различных заданий, включенных в программу дисциплины.</w:t>
      </w:r>
    </w:p>
    <w:p w:rsidR="00261CB4" w:rsidRDefault="00E82DCD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К выполнению заданий для самостоятельной работы предъявляются следующие требования: задания должны исполняться самостоятельно или в составе команды (где это предусмотрено заданием) и представляться в установленный срок, а также соответствовать установленным требованиям по оформлению.</w:t>
      </w:r>
    </w:p>
    <w:p w:rsidR="00261CB4" w:rsidRDefault="00E82DCD">
      <w:pPr>
        <w:spacing w:line="360" w:lineRule="auto"/>
        <w:ind w:firstLine="709"/>
        <w:contextualSpacing/>
        <w:jc w:val="both"/>
      </w:pPr>
      <w:r>
        <w:rPr>
          <w:sz w:val="28"/>
          <w:szCs w:val="28"/>
        </w:rPr>
        <w:t>Методические рекомендации по планированию и организации внеаудиторной самостоятельной работы студентов содержатся в Приказе № 1040/о от 11.05.2021 г.</w:t>
      </w: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5" w:name="_Toc115871083"/>
      <w:r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5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</w:p>
    <w:p w:rsidR="00261CB4" w:rsidRDefault="00E82DCD">
      <w:pPr>
        <w:keepNext/>
        <w:jc w:val="both"/>
        <w:outlineLvl w:val="0"/>
        <w:rPr>
          <w:rFonts w:eastAsia="Calibri"/>
          <w:b/>
          <w:bCs/>
          <w:kern w:val="2"/>
          <w:sz w:val="28"/>
          <w:szCs w:val="28"/>
        </w:rPr>
      </w:pPr>
      <w:bookmarkStart w:id="26" w:name="_Toc115871084"/>
      <w:bookmarkStart w:id="27" w:name="_Toc22036690"/>
      <w:bookmarkStart w:id="28" w:name="_Toc531686467"/>
      <w:bookmarkStart w:id="29" w:name="_Toc531614950"/>
      <w:r>
        <w:rPr>
          <w:rFonts w:eastAsia="Calibri"/>
          <w:b/>
          <w:bCs/>
          <w:kern w:val="2"/>
          <w:sz w:val="28"/>
          <w:szCs w:val="28"/>
        </w:rPr>
        <w:t>11. 1. Комплект лицензионного программного обеспечения:</w:t>
      </w:r>
      <w:bookmarkEnd w:id="26"/>
      <w:bookmarkEnd w:id="27"/>
      <w:bookmarkEnd w:id="28"/>
      <w:bookmarkEnd w:id="29"/>
    </w:p>
    <w:p w:rsidR="00261CB4" w:rsidRPr="00432E39" w:rsidRDefault="00E82DCD">
      <w:pPr>
        <w:spacing w:line="360" w:lineRule="auto"/>
        <w:ind w:firstLine="709"/>
        <w:jc w:val="both"/>
        <w:rPr>
          <w:sz w:val="28"/>
          <w:szCs w:val="28"/>
        </w:rPr>
      </w:pPr>
      <w:bookmarkStart w:id="30" w:name="_Toc531686468"/>
      <w:bookmarkStart w:id="31" w:name="_Toc531614951"/>
      <w:r w:rsidRPr="00432E39">
        <w:rPr>
          <w:sz w:val="28"/>
          <w:szCs w:val="28"/>
        </w:rPr>
        <w:t xml:space="preserve">1. </w:t>
      </w:r>
      <w:r>
        <w:rPr>
          <w:sz w:val="28"/>
          <w:szCs w:val="28"/>
        </w:rPr>
        <w:t>ОС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Windows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ОС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Astra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Linux</w:t>
      </w:r>
    </w:p>
    <w:p w:rsidR="00261CB4" w:rsidRPr="00432E39" w:rsidRDefault="00E82DCD">
      <w:pPr>
        <w:spacing w:line="360" w:lineRule="auto"/>
        <w:ind w:firstLine="709"/>
        <w:jc w:val="both"/>
        <w:rPr>
          <w:sz w:val="28"/>
          <w:szCs w:val="28"/>
        </w:rPr>
      </w:pPr>
      <w:r w:rsidRPr="00432E39"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  <w:lang w:val="en-US"/>
        </w:rPr>
        <w:t>Microsoft</w:t>
      </w:r>
      <w:r w:rsidRPr="00432E39"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Office</w:t>
      </w:r>
      <w:bookmarkEnd w:id="30"/>
      <w:bookmarkEnd w:id="31"/>
      <w:proofErr w:type="gramEnd"/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или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пакет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LibreOffice</w:t>
      </w:r>
    </w:p>
    <w:p w:rsidR="00261CB4" w:rsidRPr="00432E39" w:rsidRDefault="00E82DCD">
      <w:pPr>
        <w:spacing w:line="360" w:lineRule="auto"/>
        <w:ind w:firstLine="709"/>
        <w:jc w:val="both"/>
        <w:rPr>
          <w:sz w:val="28"/>
          <w:szCs w:val="28"/>
        </w:rPr>
      </w:pPr>
      <w:r w:rsidRPr="00432E39">
        <w:rPr>
          <w:sz w:val="28"/>
          <w:szCs w:val="28"/>
        </w:rPr>
        <w:t xml:space="preserve">3. </w:t>
      </w:r>
      <w:r>
        <w:rPr>
          <w:sz w:val="28"/>
          <w:szCs w:val="28"/>
        </w:rPr>
        <w:t>Приложение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</w:rPr>
        <w:t>бизнес</w:t>
      </w:r>
      <w:r w:rsidRPr="00432E39">
        <w:rPr>
          <w:sz w:val="28"/>
          <w:szCs w:val="28"/>
        </w:rPr>
        <w:t>-</w:t>
      </w:r>
      <w:r>
        <w:rPr>
          <w:sz w:val="28"/>
          <w:szCs w:val="28"/>
        </w:rPr>
        <w:t>аналитики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MS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Power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BI</w:t>
      </w:r>
      <w:r w:rsidRPr="00432E3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Desktop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Онлайн-приложение для бизнес-аналитики</w:t>
      </w:r>
      <w:r>
        <w:t xml:space="preserve"> </w:t>
      </w:r>
      <w:proofErr w:type="spellStart"/>
      <w:r>
        <w:rPr>
          <w:sz w:val="28"/>
          <w:szCs w:val="28"/>
        </w:rPr>
        <w:t>Yandex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DataLens</w:t>
      </w:r>
      <w:proofErr w:type="spellEnd"/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bookmarkStart w:id="32" w:name="_Toc531686469"/>
      <w:bookmarkStart w:id="33" w:name="_Toc531614952"/>
      <w:r>
        <w:rPr>
          <w:sz w:val="28"/>
          <w:szCs w:val="28"/>
        </w:rPr>
        <w:t xml:space="preserve">5. Антивирус </w:t>
      </w:r>
      <w:bookmarkEnd w:id="32"/>
      <w:bookmarkEnd w:id="33"/>
      <w:r>
        <w:rPr>
          <w:sz w:val="28"/>
          <w:szCs w:val="28"/>
          <w:lang w:val="en-US"/>
        </w:rPr>
        <w:t>Kaspersky</w:t>
      </w:r>
    </w:p>
    <w:p w:rsidR="00261CB4" w:rsidRDefault="00E82DCD">
      <w:pPr>
        <w:keepNext/>
        <w:jc w:val="both"/>
        <w:outlineLvl w:val="0"/>
        <w:rPr>
          <w:rFonts w:eastAsia="Calibri"/>
          <w:bCs/>
          <w:kern w:val="2"/>
          <w:sz w:val="28"/>
          <w:szCs w:val="28"/>
        </w:rPr>
      </w:pPr>
      <w:bookmarkStart w:id="34" w:name="_Toc115871085"/>
      <w:bookmarkStart w:id="35" w:name="_Toc22036691"/>
      <w:bookmarkStart w:id="36" w:name="_Toc531686470"/>
      <w:bookmarkStart w:id="37" w:name="_Toc531614953"/>
      <w:r>
        <w:rPr>
          <w:rFonts w:eastAsia="Calibri"/>
          <w:b/>
          <w:bCs/>
          <w:kern w:val="2"/>
          <w:sz w:val="28"/>
          <w:szCs w:val="28"/>
        </w:rPr>
        <w:t>11.2. Современные профессиональные базы данных и информационные справочные системы</w:t>
      </w:r>
      <w:bookmarkEnd w:id="34"/>
      <w:bookmarkEnd w:id="35"/>
      <w:bookmarkEnd w:id="36"/>
      <w:bookmarkEnd w:id="37"/>
    </w:p>
    <w:p w:rsidR="00261CB4" w:rsidRDefault="00261CB4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261CB4" w:rsidRDefault="00E82DCD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:rsidR="00261CB4" w:rsidRDefault="00E82DCD">
      <w:pPr>
        <w:shd w:val="clear" w:color="auto" w:fill="FFFFFF"/>
        <w:tabs>
          <w:tab w:val="left" w:pos="442"/>
        </w:tabs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:rsidR="00261CB4" w:rsidRDefault="00261CB4">
      <w:pPr>
        <w:spacing w:line="360" w:lineRule="auto"/>
        <w:jc w:val="both"/>
        <w:rPr>
          <w:bCs/>
          <w:sz w:val="28"/>
          <w:szCs w:val="28"/>
        </w:rPr>
      </w:pPr>
    </w:p>
    <w:p w:rsidR="00261CB4" w:rsidRDefault="00E82DCD">
      <w:pPr>
        <w:shd w:val="clear" w:color="auto" w:fill="FFFFFF"/>
        <w:tabs>
          <w:tab w:val="left" w:pos="442"/>
        </w:tabs>
        <w:jc w:val="both"/>
        <w:rPr>
          <w:rFonts w:eastAsia="Calibri"/>
          <w:b/>
          <w:bCs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:rsidR="00261CB4" w:rsidRDefault="00E82DCD">
      <w:pPr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261CB4" w:rsidRDefault="00261CB4">
      <w:pPr>
        <w:spacing w:line="276" w:lineRule="auto"/>
        <w:ind w:firstLine="709"/>
        <w:jc w:val="both"/>
        <w:rPr>
          <w:bCs/>
          <w:sz w:val="28"/>
          <w:szCs w:val="28"/>
        </w:rPr>
      </w:pPr>
    </w:p>
    <w:p w:rsidR="00261CB4" w:rsidRDefault="00E82DCD">
      <w:pPr>
        <w:pStyle w:val="1"/>
        <w:spacing w:before="0" w:after="120"/>
        <w:ind w:firstLine="709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8" w:name="_Toc115871086"/>
      <w:r>
        <w:rPr>
          <w:rFonts w:ascii="Times New Roman" w:hAnsi="Times New Roman" w:cs="Times New Roman"/>
          <w:b/>
          <w:color w:val="auto"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</w:t>
      </w:r>
      <w:bookmarkEnd w:id="38"/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компьютерные классы с выходом в Интернет;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аудитории, оборудованные мультимедийными средствами обучения;</w:t>
      </w:r>
    </w:p>
    <w:p w:rsidR="00261CB4" w:rsidRDefault="00E82DC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доступ к современным информационным системам.</w:t>
      </w:r>
    </w:p>
    <w:sectPr w:rsidR="00261CB4">
      <w:headerReference w:type="default" r:id="rId51"/>
      <w:footerReference w:type="default" r:id="rId52"/>
      <w:pgSz w:w="11906" w:h="16838"/>
      <w:pgMar w:top="1134" w:right="850" w:bottom="1134" w:left="1701" w:header="708" w:footer="708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2D3F" w:rsidRDefault="00182D3F">
      <w:r>
        <w:separator/>
      </w:r>
    </w:p>
  </w:endnote>
  <w:endnote w:type="continuationSeparator" w:id="0">
    <w:p w:rsidR="00182D3F" w:rsidRDefault="00182D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altName w:val="Times New Roman"/>
    <w:charset w:val="01"/>
    <w:family w:val="roman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Source Han Sans CN Regular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42540595"/>
      <w:docPartObj>
        <w:docPartGallery w:val="Page Numbers (Bottom of Page)"/>
        <w:docPartUnique/>
      </w:docPartObj>
    </w:sdtPr>
    <w:sdtEndPr/>
    <w:sdtContent>
      <w:p w:rsidR="00EB046A" w:rsidRDefault="00EB046A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EB1">
          <w:rPr>
            <w:noProof/>
          </w:rPr>
          <w:t>5</w:t>
        </w:r>
        <w:r>
          <w:fldChar w:fldCharType="end"/>
        </w:r>
      </w:p>
    </w:sdtContent>
  </w:sdt>
  <w:p w:rsidR="00E82DCD" w:rsidRDefault="00E82DCD">
    <w:pPr>
      <w:widowControl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2570458"/>
      <w:docPartObj>
        <w:docPartGallery w:val="Page Numbers (Bottom of Page)"/>
        <w:docPartUnique/>
      </w:docPartObj>
    </w:sdtPr>
    <w:sdtEndPr/>
    <w:sdtContent>
      <w:p w:rsidR="00EB046A" w:rsidRDefault="00EB046A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EB1">
          <w:rPr>
            <w:noProof/>
          </w:rPr>
          <w:t>51</w:t>
        </w:r>
        <w:r>
          <w:fldChar w:fldCharType="end"/>
        </w:r>
      </w:p>
    </w:sdtContent>
  </w:sdt>
  <w:p w:rsidR="00E82DCD" w:rsidRDefault="00E82DCD">
    <w:pPr>
      <w:widowControl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23208294"/>
      <w:docPartObj>
        <w:docPartGallery w:val="Page Numbers (Bottom of Page)"/>
        <w:docPartUnique/>
      </w:docPartObj>
    </w:sdtPr>
    <w:sdtEndPr/>
    <w:sdtContent>
      <w:p w:rsidR="00EB046A" w:rsidRDefault="00EB046A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EB1">
          <w:rPr>
            <w:noProof/>
          </w:rPr>
          <w:t>57</w:t>
        </w:r>
        <w:r>
          <w:fldChar w:fldCharType="end"/>
        </w:r>
      </w:p>
    </w:sdtContent>
  </w:sdt>
  <w:p w:rsidR="00E82DCD" w:rsidRDefault="00E82DCD">
    <w:pPr>
      <w:widowControl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6542450"/>
      <w:docPartObj>
        <w:docPartGallery w:val="Page Numbers (Bottom of Page)"/>
        <w:docPartUnique/>
      </w:docPartObj>
    </w:sdtPr>
    <w:sdtEndPr/>
    <w:sdtContent>
      <w:p w:rsidR="00D54515" w:rsidRDefault="00D54515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EB1">
          <w:rPr>
            <w:noProof/>
          </w:rPr>
          <w:t>59</w:t>
        </w:r>
        <w:r>
          <w:fldChar w:fldCharType="end"/>
        </w:r>
      </w:p>
    </w:sdtContent>
  </w:sdt>
  <w:p w:rsidR="00E82DCD" w:rsidRDefault="00E82DCD" w:rsidP="00D54515">
    <w:pPr>
      <w:widowControl/>
      <w:jc w:val="cen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54116851"/>
      <w:docPartObj>
        <w:docPartGallery w:val="Page Numbers (Bottom of Page)"/>
        <w:docPartUnique/>
      </w:docPartObj>
    </w:sdtPr>
    <w:sdtEndPr/>
    <w:sdtContent>
      <w:p w:rsidR="00D54515" w:rsidRDefault="00D54515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EB1">
          <w:rPr>
            <w:noProof/>
          </w:rPr>
          <w:t>67</w:t>
        </w:r>
        <w:r>
          <w:fldChar w:fldCharType="end"/>
        </w:r>
      </w:p>
    </w:sdtContent>
  </w:sdt>
  <w:p w:rsidR="00E82DCD" w:rsidRDefault="00E82DCD">
    <w:pPr>
      <w:widowControl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2D3F" w:rsidRDefault="00182D3F">
      <w:pPr>
        <w:rPr>
          <w:sz w:val="12"/>
        </w:rPr>
      </w:pPr>
      <w:r>
        <w:separator/>
      </w:r>
    </w:p>
  </w:footnote>
  <w:footnote w:type="continuationSeparator" w:id="0">
    <w:p w:rsidR="00182D3F" w:rsidRDefault="00182D3F">
      <w:pPr>
        <w:rPr>
          <w:sz w:val="12"/>
        </w:rPr>
      </w:pPr>
      <w:r>
        <w:continuationSeparator/>
      </w:r>
    </w:p>
  </w:footnote>
  <w:footnote w:id="1">
    <w:p w:rsidR="00E82DCD" w:rsidRDefault="00E82DCD">
      <w:pPr>
        <w:pStyle w:val="ae"/>
      </w:pPr>
      <w:r>
        <w:rPr>
          <w:rStyle w:val="af0"/>
        </w:rPr>
        <w:footnoteRef/>
      </w:r>
      <w:r>
        <w:t xml:space="preserve"> Банк России. Раскрытие информации кредитными организациями. [Электронный ресурс] </w:t>
      </w:r>
      <w:r>
        <w:rPr>
          <w:lang w:val="en-US"/>
        </w:rPr>
        <w:t>URL</w:t>
      </w:r>
      <w:r>
        <w:t xml:space="preserve">: </w:t>
      </w:r>
      <w:hyperlink r:id="rId1">
        <w:r>
          <w:rPr>
            <w:lang w:val="en-US"/>
          </w:rPr>
          <w:t>http</w:t>
        </w:r>
        <w:r>
          <w:t>://</w:t>
        </w:r>
        <w:r>
          <w:rPr>
            <w:lang w:val="en-US"/>
          </w:rPr>
          <w:t>www</w:t>
        </w:r>
        <w:r>
          <w:t>.</w:t>
        </w:r>
        <w:r>
          <w:rPr>
            <w:lang w:val="en-US"/>
          </w:rPr>
          <w:t>cbr</w:t>
        </w:r>
        <w:r>
          <w:t>.</w:t>
        </w:r>
        <w:r>
          <w:rPr>
            <w:lang w:val="en-US"/>
          </w:rPr>
          <w:t>ru</w:t>
        </w:r>
        <w:r>
          <w:t>/</w:t>
        </w:r>
        <w:r>
          <w:rPr>
            <w:lang w:val="en-US"/>
          </w:rPr>
          <w:t>banking</w:t>
        </w:r>
        <w:r>
          <w:t>_</w:t>
        </w:r>
        <w:r>
          <w:rPr>
            <w:lang w:val="en-US"/>
          </w:rPr>
          <w:t>sector</w:t>
        </w:r>
        <w:r>
          <w:t>/</w:t>
        </w:r>
        <w:r>
          <w:rPr>
            <w:lang w:val="en-US"/>
          </w:rPr>
          <w:t>otchetnost</w:t>
        </w:r>
        <w:r>
          <w:t>-</w:t>
        </w:r>
        <w:r>
          <w:rPr>
            <w:lang w:val="en-US"/>
          </w:rPr>
          <w:t>kreditnykh</w:t>
        </w:r>
        <w:r>
          <w:t>-</w:t>
        </w:r>
        <w:r>
          <w:rPr>
            <w:lang w:val="en-US"/>
          </w:rPr>
          <w:t>organizaciy</w:t>
        </w:r>
        <w:r>
          <w:t>/</w:t>
        </w:r>
        <w:r>
          <w:rPr>
            <w:lang w:val="en-US"/>
          </w:rPr>
          <w:t>transparent</w:t>
        </w:r>
        <w:r>
          <w:t>/</w:t>
        </w:r>
      </w:hyperlink>
      <w:r>
        <w:t xml:space="preserve">. </w:t>
      </w:r>
    </w:p>
  </w:footnote>
  <w:footnote w:id="2">
    <w:p w:rsidR="00E82DCD" w:rsidRDefault="00E82DCD">
      <w:pPr>
        <w:pStyle w:val="ae"/>
      </w:pPr>
      <w:r>
        <w:rPr>
          <w:rStyle w:val="af0"/>
        </w:rPr>
        <w:footnoteRef/>
      </w:r>
      <w:r>
        <w:t xml:space="preserve"> В методиках кредитных рейтинговых агентств этот раздел обычно именуется анализом фондирования.</w:t>
      </w:r>
    </w:p>
  </w:footnote>
  <w:footnote w:id="3">
    <w:p w:rsidR="00E82DCD" w:rsidRDefault="00E82DCD">
      <w:pPr>
        <w:pStyle w:val="ae"/>
      </w:pPr>
      <w:r>
        <w:rPr>
          <w:rStyle w:val="af0"/>
        </w:rPr>
        <w:footnoteRef/>
      </w:r>
      <w:r>
        <w:t xml:space="preserve"> </w:t>
      </w:r>
      <w:r>
        <w:rPr>
          <w:lang w:val="en-US"/>
        </w:rPr>
        <w:t>Yandex</w:t>
      </w:r>
      <w:r>
        <w:t xml:space="preserve"> </w:t>
      </w:r>
      <w:r>
        <w:rPr>
          <w:lang w:val="en-US"/>
        </w:rPr>
        <w:t>DataLens</w:t>
      </w:r>
      <w:r>
        <w:t xml:space="preserve">. Ссылка на подключение к облачному приложению - </w:t>
      </w:r>
      <w:hyperlink r:id="rId2">
        <w:r>
          <w:t>https://cloud.yandex.ru/services/datalens</w:t>
        </w:r>
      </w:hyperlink>
      <w:r>
        <w:t>.</w:t>
      </w:r>
    </w:p>
  </w:footnote>
  <w:footnote w:id="4">
    <w:p w:rsidR="00E82DCD" w:rsidRDefault="00E82DCD">
      <w:pPr>
        <w:pStyle w:val="ae"/>
      </w:pPr>
      <w:r>
        <w:rPr>
          <w:rStyle w:val="af0"/>
        </w:rPr>
        <w:footnoteRef/>
      </w:r>
      <w:r>
        <w:t xml:space="preserve"> Ссылка на скачивание приложения Power BI Desktop для работы на персональном компьютере - </w:t>
      </w:r>
      <w:hyperlink r:id="rId3">
        <w:r>
          <w:t>https://www.microsoft.com/ru-RU/download/details.aspx?id=58494</w:t>
        </w:r>
      </w:hyperlink>
    </w:p>
  </w:footnote>
  <w:footnote w:id="5">
    <w:p w:rsidR="00E82DCD" w:rsidRDefault="00E82DCD">
      <w:pPr>
        <w:pStyle w:val="ae"/>
        <w:jc w:val="both"/>
        <w:rPr>
          <w:sz w:val="24"/>
          <w:szCs w:val="24"/>
        </w:rPr>
      </w:pPr>
      <w:r>
        <w:rPr>
          <w:rStyle w:val="af0"/>
        </w:rPr>
        <w:footnoteRef/>
      </w:r>
      <w:r>
        <w:rPr>
          <w:sz w:val="24"/>
          <w:szCs w:val="24"/>
        </w:rPr>
        <w:t xml:space="preserve"> Кредиты на приобретение помещения на определенных условиях (соотношение размера ссуды и стоимости залога, регулярная переоценка помещения и т.д.)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2DCD" w:rsidRDefault="00E82DCD">
    <w:pPr>
      <w:pStyle w:val="af9"/>
      <w:rPr>
        <w:rStyle w:val="FontStyle72"/>
        <w:b w:val="0"/>
        <w:bCs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2DCD" w:rsidRDefault="00E82DCD">
    <w:pPr>
      <w:pStyle w:val="af9"/>
      <w:rPr>
        <w:rStyle w:val="FontStyle72"/>
        <w:b w:val="0"/>
        <w:bCs w:val="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2DCD" w:rsidRDefault="00E82DCD">
    <w:pPr>
      <w:pStyle w:val="af9"/>
      <w:rPr>
        <w:rStyle w:val="FontStyle72"/>
        <w:b w:val="0"/>
        <w:bCs w:val="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2DCD" w:rsidRDefault="00E82DCD">
    <w:pPr>
      <w:pStyle w:val="af9"/>
      <w:rPr>
        <w:rStyle w:val="FontStyle72"/>
        <w:b w:val="0"/>
        <w:bCs w:val="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2DCD" w:rsidRDefault="00E82DCD">
    <w:pPr>
      <w:pStyle w:val="af9"/>
      <w:rPr>
        <w:rStyle w:val="FontStyle72"/>
        <w:b w:val="0"/>
        <w:bCs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E2413"/>
    <w:multiLevelType w:val="multilevel"/>
    <w:tmpl w:val="4126DC1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E563946"/>
    <w:multiLevelType w:val="multilevel"/>
    <w:tmpl w:val="CE9CAC5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11C55C3F"/>
    <w:multiLevelType w:val="multilevel"/>
    <w:tmpl w:val="6CA0ABD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1A6A040A"/>
    <w:multiLevelType w:val="multilevel"/>
    <w:tmpl w:val="33361FB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1C3F4353"/>
    <w:multiLevelType w:val="multilevel"/>
    <w:tmpl w:val="F9003D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1FCF0C27"/>
    <w:multiLevelType w:val="multilevel"/>
    <w:tmpl w:val="D796561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23F9481D"/>
    <w:multiLevelType w:val="multilevel"/>
    <w:tmpl w:val="9F8C3F5E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7" w15:restartNumberingAfterBreak="0">
    <w:nsid w:val="2B506A52"/>
    <w:multiLevelType w:val="multilevel"/>
    <w:tmpl w:val="521EC6CC"/>
    <w:lvl w:ilvl="0">
      <w:start w:val="1"/>
      <w:numFmt w:val="decimal"/>
      <w:pStyle w:val="2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2F5F0BA7"/>
    <w:multiLevelType w:val="multilevel"/>
    <w:tmpl w:val="6B84341E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9" w15:restartNumberingAfterBreak="0">
    <w:nsid w:val="4F15205D"/>
    <w:multiLevelType w:val="multilevel"/>
    <w:tmpl w:val="7270B9BE"/>
    <w:lvl w:ilvl="0">
      <w:start w:val="1"/>
      <w:numFmt w:val="bullet"/>
      <w:lvlText w:val="−"/>
      <w:lvlJc w:val="left"/>
      <w:pPr>
        <w:tabs>
          <w:tab w:val="num" w:pos="0"/>
        </w:tabs>
        <w:ind w:left="839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55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7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9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71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43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15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7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9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0B0690B"/>
    <w:multiLevelType w:val="multilevel"/>
    <w:tmpl w:val="3B5A60F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759118E2"/>
    <w:multiLevelType w:val="multilevel"/>
    <w:tmpl w:val="8FD8D4C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 w15:restartNumberingAfterBreak="0">
    <w:nsid w:val="7A9B6A0A"/>
    <w:multiLevelType w:val="multilevel"/>
    <w:tmpl w:val="BA4CA64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7BD27789"/>
    <w:multiLevelType w:val="multilevel"/>
    <w:tmpl w:val="194E40A0"/>
    <w:lvl w:ilvl="0">
      <w:start w:val="1"/>
      <w:numFmt w:val="bullet"/>
      <w:lvlText w:val=""/>
      <w:lvlJc w:val="left"/>
      <w:pPr>
        <w:tabs>
          <w:tab w:val="num" w:pos="0"/>
        </w:tabs>
        <w:ind w:left="1429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"/>
  </w:num>
  <w:num w:numId="3">
    <w:abstractNumId w:val="0"/>
  </w:num>
  <w:num w:numId="4">
    <w:abstractNumId w:val="13"/>
  </w:num>
  <w:num w:numId="5">
    <w:abstractNumId w:val="9"/>
  </w:num>
  <w:num w:numId="6">
    <w:abstractNumId w:val="3"/>
  </w:num>
  <w:num w:numId="7">
    <w:abstractNumId w:val="4"/>
  </w:num>
  <w:num w:numId="8">
    <w:abstractNumId w:val="12"/>
  </w:num>
  <w:num w:numId="9">
    <w:abstractNumId w:val="6"/>
  </w:num>
  <w:num w:numId="10">
    <w:abstractNumId w:val="8"/>
  </w:num>
  <w:num w:numId="11">
    <w:abstractNumId w:val="10"/>
  </w:num>
  <w:num w:numId="12">
    <w:abstractNumId w:val="7"/>
  </w:num>
  <w:num w:numId="13">
    <w:abstractNumId w:val="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CB4"/>
    <w:rsid w:val="00147B6F"/>
    <w:rsid w:val="00182D3F"/>
    <w:rsid w:val="002171FD"/>
    <w:rsid w:val="00261CB4"/>
    <w:rsid w:val="00432E39"/>
    <w:rsid w:val="00810EB1"/>
    <w:rsid w:val="009A47BF"/>
    <w:rsid w:val="00A23C83"/>
    <w:rsid w:val="00A676F1"/>
    <w:rsid w:val="00D54515"/>
    <w:rsid w:val="00E82DCD"/>
    <w:rsid w:val="00E92801"/>
    <w:rsid w:val="00EB0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CC3BCE"/>
  <w15:docId w15:val="{70003F1D-875F-4A80-B9B8-0054FAA8A6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2899"/>
    <w:pPr>
      <w:widowControl w:val="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A488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0">
    <w:name w:val="heading 2"/>
    <w:basedOn w:val="a"/>
    <w:next w:val="a"/>
    <w:link w:val="21"/>
    <w:uiPriority w:val="9"/>
    <w:unhideWhenUsed/>
    <w:qFormat/>
    <w:rsid w:val="00AA488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34E5E"/>
    <w:pPr>
      <w:keepNext/>
      <w:keepLines/>
      <w:widowControl/>
      <w:spacing w:before="40" w:line="276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1">
    <w:name w:val="Заголовок 2 Знак"/>
    <w:basedOn w:val="a0"/>
    <w:link w:val="20"/>
    <w:uiPriority w:val="9"/>
    <w:qFormat/>
    <w:rsid w:val="00AA488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qFormat/>
    <w:rsid w:val="00734E5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FontStyle53">
    <w:name w:val="Font Style53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4">
    <w:name w:val="Font Style54"/>
    <w:basedOn w:val="a0"/>
    <w:uiPriority w:val="99"/>
    <w:qFormat/>
    <w:rsid w:val="0020289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57">
    <w:name w:val="Font Style57"/>
    <w:basedOn w:val="a0"/>
    <w:uiPriority w:val="99"/>
    <w:qFormat/>
    <w:rsid w:val="0020289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63">
    <w:name w:val="Font Style63"/>
    <w:basedOn w:val="a0"/>
    <w:uiPriority w:val="99"/>
    <w:qFormat/>
    <w:rsid w:val="00202899"/>
    <w:rPr>
      <w:rFonts w:ascii="Times New Roman" w:hAnsi="Times New Roman" w:cs="Times New Roman"/>
      <w:sz w:val="30"/>
      <w:szCs w:val="30"/>
    </w:rPr>
  </w:style>
  <w:style w:type="character" w:customStyle="1" w:styleId="FontStyle65">
    <w:name w:val="Font Style65"/>
    <w:basedOn w:val="a0"/>
    <w:uiPriority w:val="99"/>
    <w:qFormat/>
    <w:rsid w:val="002028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7">
    <w:name w:val="Font Style67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FontStyle71">
    <w:name w:val="Font Style71"/>
    <w:basedOn w:val="a0"/>
    <w:uiPriority w:val="99"/>
    <w:qFormat/>
    <w:rsid w:val="00202899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2">
    <w:name w:val="Font Style72"/>
    <w:basedOn w:val="a0"/>
    <w:uiPriority w:val="99"/>
    <w:qFormat/>
    <w:rsid w:val="002028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3">
    <w:name w:val="Font Style73"/>
    <w:basedOn w:val="a0"/>
    <w:qFormat/>
    <w:rsid w:val="00202899"/>
    <w:rPr>
      <w:rFonts w:ascii="Times New Roman" w:hAnsi="Times New Roman" w:cs="Times New Roman"/>
      <w:sz w:val="26"/>
      <w:szCs w:val="26"/>
    </w:rPr>
  </w:style>
  <w:style w:type="character" w:customStyle="1" w:styleId="FontStyle74">
    <w:name w:val="Font Style74"/>
    <w:basedOn w:val="a0"/>
    <w:uiPriority w:val="99"/>
    <w:qFormat/>
    <w:rsid w:val="00202899"/>
    <w:rPr>
      <w:rFonts w:ascii="Times New Roman" w:hAnsi="Times New Roman" w:cs="Times New Roman"/>
      <w:sz w:val="22"/>
      <w:szCs w:val="22"/>
    </w:rPr>
  </w:style>
  <w:style w:type="character" w:customStyle="1" w:styleId="a3">
    <w:name w:val="Верх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uiPriority w:val="99"/>
    <w:qFormat/>
    <w:rsid w:val="00202899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Название Знак"/>
    <w:basedOn w:val="a0"/>
    <w:qFormat/>
    <w:rsid w:val="00B96B00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FontStyle58">
    <w:name w:val="Font Style58"/>
    <w:basedOn w:val="a0"/>
    <w:uiPriority w:val="99"/>
    <w:qFormat/>
    <w:rsid w:val="00A0346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0">
    <w:name w:val="Font Style60"/>
    <w:basedOn w:val="a0"/>
    <w:uiPriority w:val="99"/>
    <w:qFormat/>
    <w:rsid w:val="00375F1B"/>
    <w:rPr>
      <w:rFonts w:ascii="Times New Roman" w:hAnsi="Times New Roman" w:cs="Times New Roman"/>
      <w:sz w:val="20"/>
      <w:szCs w:val="20"/>
    </w:rPr>
  </w:style>
  <w:style w:type="character" w:customStyle="1" w:styleId="-">
    <w:name w:val="Интернет-ссылка"/>
    <w:basedOn w:val="a0"/>
    <w:uiPriority w:val="99"/>
    <w:unhideWhenUsed/>
    <w:rsid w:val="005545CB"/>
    <w:rPr>
      <w:color w:val="0563C1" w:themeColor="hyperlink"/>
      <w:u w:val="single"/>
    </w:rPr>
  </w:style>
  <w:style w:type="character" w:customStyle="1" w:styleId="a6">
    <w:name w:val="Текст выноски Знак"/>
    <w:basedOn w:val="a0"/>
    <w:uiPriority w:val="99"/>
    <w:semiHidden/>
    <w:qFormat/>
    <w:rsid w:val="00106B1E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22">
    <w:name w:val="Текст сноски Знак2"/>
    <w:qFormat/>
    <w:locked/>
    <w:rsid w:val="00BE19F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qFormat/>
    <w:rsid w:val="00BE19FB"/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8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qFormat/>
    <w:rsid w:val="00BE19FB"/>
    <w:rPr>
      <w:vertAlign w:val="superscript"/>
    </w:rPr>
  </w:style>
  <w:style w:type="character" w:styleId="a9">
    <w:name w:val="Strong"/>
    <w:uiPriority w:val="22"/>
    <w:qFormat/>
    <w:rsid w:val="00547B7F"/>
    <w:rPr>
      <w:rFonts w:ascii="Times New Roman" w:hAnsi="Times New Roman" w:cs="Times New Roman"/>
      <w:b/>
      <w:bCs/>
      <w:sz w:val="24"/>
      <w:u w:val="single"/>
    </w:rPr>
  </w:style>
  <w:style w:type="character" w:customStyle="1" w:styleId="aa">
    <w:name w:val="Текст примечания Знак"/>
    <w:basedOn w:val="a0"/>
    <w:uiPriority w:val="99"/>
    <w:semiHidden/>
    <w:qFormat/>
    <w:rsid w:val="00734E5E"/>
    <w:rPr>
      <w:sz w:val="20"/>
      <w:szCs w:val="20"/>
    </w:rPr>
  </w:style>
  <w:style w:type="character" w:customStyle="1" w:styleId="ab">
    <w:name w:val="Тема примечания Знак"/>
    <w:basedOn w:val="aa"/>
    <w:uiPriority w:val="99"/>
    <w:semiHidden/>
    <w:qFormat/>
    <w:rsid w:val="00734E5E"/>
    <w:rPr>
      <w:b/>
      <w:bCs/>
      <w:sz w:val="20"/>
      <w:szCs w:val="20"/>
    </w:rPr>
  </w:style>
  <w:style w:type="character" w:customStyle="1" w:styleId="ac">
    <w:name w:val="Посещённая гиперссылка"/>
    <w:basedOn w:val="a0"/>
    <w:uiPriority w:val="99"/>
    <w:semiHidden/>
    <w:unhideWhenUsed/>
    <w:rsid w:val="006E5735"/>
    <w:rPr>
      <w:color w:val="954F72" w:themeColor="followedHyperlink"/>
      <w:u w:val="single"/>
    </w:rPr>
  </w:style>
  <w:style w:type="character" w:styleId="ad">
    <w:name w:val="annotation reference"/>
    <w:basedOn w:val="a0"/>
    <w:uiPriority w:val="99"/>
    <w:semiHidden/>
    <w:unhideWhenUsed/>
    <w:qFormat/>
    <w:rsid w:val="0055592D"/>
    <w:rPr>
      <w:sz w:val="16"/>
      <w:szCs w:val="16"/>
    </w:rPr>
  </w:style>
  <w:style w:type="character" w:customStyle="1" w:styleId="FontStyle13">
    <w:name w:val="Font Style13"/>
    <w:qFormat/>
    <w:rsid w:val="00D97EC9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5">
    <w:name w:val="Font Style15"/>
    <w:uiPriority w:val="99"/>
    <w:qFormat/>
    <w:rsid w:val="00D97EC9"/>
    <w:rPr>
      <w:rFonts w:ascii="Times New Roman" w:hAnsi="Times New Roman" w:cs="Times New Roman"/>
      <w:b/>
      <w:bCs/>
      <w:color w:val="000000"/>
      <w:sz w:val="28"/>
      <w:szCs w:val="28"/>
    </w:rPr>
  </w:style>
  <w:style w:type="character" w:customStyle="1" w:styleId="11">
    <w:name w:val="Текст сноски Знак1"/>
    <w:basedOn w:val="a0"/>
    <w:link w:val="ae"/>
    <w:qFormat/>
    <w:rsid w:val="00D97EC9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12">
    <w:name w:val="Неразрешенное упоминание1"/>
    <w:basedOn w:val="a0"/>
    <w:uiPriority w:val="99"/>
    <w:semiHidden/>
    <w:unhideWhenUsed/>
    <w:qFormat/>
    <w:rsid w:val="000F423D"/>
    <w:rPr>
      <w:color w:val="605E5C"/>
      <w:shd w:val="clear" w:color="auto" w:fill="E1DFDD"/>
    </w:rPr>
  </w:style>
  <w:style w:type="character" w:customStyle="1" w:styleId="af">
    <w:name w:val="Ссылка указателя"/>
    <w:qFormat/>
  </w:style>
  <w:style w:type="character" w:customStyle="1" w:styleId="af0">
    <w:name w:val="Символ сноски"/>
    <w:qFormat/>
  </w:style>
  <w:style w:type="character" w:customStyle="1" w:styleId="af1">
    <w:name w:val="Привязка концевой сноски"/>
    <w:rPr>
      <w:vertAlign w:val="superscript"/>
    </w:rPr>
  </w:style>
  <w:style w:type="character" w:customStyle="1" w:styleId="af2">
    <w:name w:val="Символ концевой сноски"/>
    <w:qFormat/>
  </w:style>
  <w:style w:type="paragraph" w:styleId="af3">
    <w:name w:val="Title"/>
    <w:basedOn w:val="a"/>
    <w:next w:val="af4"/>
    <w:qFormat/>
    <w:rsid w:val="00B96B00"/>
    <w:pPr>
      <w:widowControl/>
      <w:jc w:val="center"/>
    </w:pPr>
    <w:rPr>
      <w:rFonts w:eastAsia="Times New Roman"/>
      <w:b/>
      <w:sz w:val="28"/>
      <w:szCs w:val="20"/>
    </w:rPr>
  </w:style>
  <w:style w:type="paragraph" w:styleId="af4">
    <w:name w:val="Body Text"/>
    <w:basedOn w:val="a"/>
    <w:pPr>
      <w:spacing w:after="140" w:line="276" w:lineRule="auto"/>
    </w:pPr>
  </w:style>
  <w:style w:type="paragraph" w:styleId="af5">
    <w:name w:val="List"/>
    <w:basedOn w:val="a"/>
    <w:uiPriority w:val="99"/>
    <w:semiHidden/>
    <w:unhideWhenUsed/>
    <w:rsid w:val="001668FA"/>
    <w:pPr>
      <w:ind w:left="283" w:hanging="283"/>
      <w:contextualSpacing/>
    </w:pPr>
  </w:style>
  <w:style w:type="paragraph" w:styleId="af6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7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customStyle="1" w:styleId="Style1">
    <w:name w:val="Style1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5">
    <w:name w:val="Style5"/>
    <w:basedOn w:val="a"/>
    <w:uiPriority w:val="99"/>
    <w:qFormat/>
    <w:rsid w:val="00202899"/>
  </w:style>
  <w:style w:type="paragraph" w:customStyle="1" w:styleId="Style6">
    <w:name w:val="Style6"/>
    <w:basedOn w:val="a"/>
    <w:uiPriority w:val="99"/>
    <w:qFormat/>
    <w:rsid w:val="00202899"/>
    <w:pPr>
      <w:spacing w:line="322" w:lineRule="exact"/>
      <w:jc w:val="center"/>
    </w:pPr>
  </w:style>
  <w:style w:type="paragraph" w:customStyle="1" w:styleId="Style7">
    <w:name w:val="Style7"/>
    <w:basedOn w:val="a"/>
    <w:uiPriority w:val="99"/>
    <w:qFormat/>
    <w:rsid w:val="00202899"/>
    <w:pPr>
      <w:spacing w:line="370" w:lineRule="exact"/>
      <w:jc w:val="center"/>
    </w:pPr>
  </w:style>
  <w:style w:type="paragraph" w:customStyle="1" w:styleId="Style8">
    <w:name w:val="Style8"/>
    <w:basedOn w:val="a"/>
    <w:uiPriority w:val="99"/>
    <w:qFormat/>
    <w:rsid w:val="00202899"/>
    <w:pPr>
      <w:jc w:val="both"/>
    </w:pPr>
  </w:style>
  <w:style w:type="paragraph" w:customStyle="1" w:styleId="Style11">
    <w:name w:val="Style11"/>
    <w:basedOn w:val="a"/>
    <w:uiPriority w:val="99"/>
    <w:qFormat/>
    <w:rsid w:val="00202899"/>
    <w:pPr>
      <w:spacing w:line="322" w:lineRule="exact"/>
      <w:jc w:val="right"/>
    </w:pPr>
  </w:style>
  <w:style w:type="paragraph" w:customStyle="1" w:styleId="Style16">
    <w:name w:val="Style16"/>
    <w:basedOn w:val="a"/>
    <w:uiPriority w:val="99"/>
    <w:qFormat/>
    <w:rsid w:val="00202899"/>
    <w:pPr>
      <w:jc w:val="both"/>
    </w:pPr>
  </w:style>
  <w:style w:type="paragraph" w:customStyle="1" w:styleId="Style17">
    <w:name w:val="Style17"/>
    <w:basedOn w:val="a"/>
    <w:uiPriority w:val="99"/>
    <w:qFormat/>
    <w:rsid w:val="00202899"/>
    <w:pPr>
      <w:spacing w:line="322" w:lineRule="exact"/>
      <w:ind w:hanging="878"/>
    </w:pPr>
  </w:style>
  <w:style w:type="paragraph" w:customStyle="1" w:styleId="Style18">
    <w:name w:val="Style18"/>
    <w:basedOn w:val="a"/>
    <w:uiPriority w:val="99"/>
    <w:qFormat/>
    <w:rsid w:val="00202899"/>
    <w:pPr>
      <w:spacing w:line="365" w:lineRule="exact"/>
      <w:ind w:firstLine="1320"/>
    </w:pPr>
  </w:style>
  <w:style w:type="paragraph" w:customStyle="1" w:styleId="Style19">
    <w:name w:val="Style19"/>
    <w:basedOn w:val="a"/>
    <w:uiPriority w:val="99"/>
    <w:qFormat/>
    <w:rsid w:val="00202899"/>
    <w:pPr>
      <w:spacing w:line="274" w:lineRule="exact"/>
      <w:ind w:hanging="1978"/>
    </w:pPr>
  </w:style>
  <w:style w:type="paragraph" w:customStyle="1" w:styleId="Style20">
    <w:name w:val="Style20"/>
    <w:basedOn w:val="a"/>
    <w:uiPriority w:val="99"/>
    <w:qFormat/>
    <w:rsid w:val="00202899"/>
    <w:pPr>
      <w:spacing w:line="278" w:lineRule="exact"/>
      <w:ind w:hanging="1046"/>
    </w:pPr>
  </w:style>
  <w:style w:type="paragraph" w:customStyle="1" w:styleId="Style22">
    <w:name w:val="Style22"/>
    <w:basedOn w:val="a"/>
    <w:uiPriority w:val="99"/>
    <w:qFormat/>
    <w:rsid w:val="00202899"/>
  </w:style>
  <w:style w:type="paragraph" w:customStyle="1" w:styleId="Style23">
    <w:name w:val="Style23"/>
    <w:basedOn w:val="a"/>
    <w:uiPriority w:val="99"/>
    <w:qFormat/>
    <w:rsid w:val="00202899"/>
  </w:style>
  <w:style w:type="paragraph" w:customStyle="1" w:styleId="Style25">
    <w:name w:val="Style25"/>
    <w:basedOn w:val="a"/>
    <w:uiPriority w:val="99"/>
    <w:qFormat/>
    <w:rsid w:val="00202899"/>
    <w:pPr>
      <w:spacing w:line="276" w:lineRule="exact"/>
    </w:pPr>
  </w:style>
  <w:style w:type="paragraph" w:customStyle="1" w:styleId="Style30">
    <w:name w:val="Style30"/>
    <w:basedOn w:val="a"/>
    <w:uiPriority w:val="99"/>
    <w:qFormat/>
    <w:rsid w:val="00202899"/>
  </w:style>
  <w:style w:type="paragraph" w:customStyle="1" w:styleId="Style31">
    <w:name w:val="Style31"/>
    <w:basedOn w:val="a"/>
    <w:uiPriority w:val="99"/>
    <w:qFormat/>
    <w:rsid w:val="00202899"/>
    <w:pPr>
      <w:spacing w:line="278" w:lineRule="exact"/>
      <w:ind w:hanging="134"/>
    </w:pPr>
  </w:style>
  <w:style w:type="paragraph" w:customStyle="1" w:styleId="Style35">
    <w:name w:val="Style35"/>
    <w:basedOn w:val="a"/>
    <w:uiPriority w:val="99"/>
    <w:qFormat/>
    <w:rsid w:val="00202899"/>
    <w:pPr>
      <w:spacing w:line="298" w:lineRule="exact"/>
      <w:jc w:val="right"/>
    </w:pPr>
  </w:style>
  <w:style w:type="paragraph" w:customStyle="1" w:styleId="Style36">
    <w:name w:val="Style36"/>
    <w:basedOn w:val="a"/>
    <w:uiPriority w:val="99"/>
    <w:qFormat/>
    <w:rsid w:val="00202899"/>
  </w:style>
  <w:style w:type="paragraph" w:customStyle="1" w:styleId="af8">
    <w:name w:val="Верхний и нижний колонтитулы"/>
    <w:basedOn w:val="a"/>
    <w:qFormat/>
  </w:style>
  <w:style w:type="paragraph" w:styleId="af9">
    <w:name w:val="head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a">
    <w:name w:val="footer"/>
    <w:basedOn w:val="a"/>
    <w:uiPriority w:val="99"/>
    <w:unhideWhenUsed/>
    <w:rsid w:val="00202899"/>
    <w:pPr>
      <w:tabs>
        <w:tab w:val="center" w:pos="4677"/>
        <w:tab w:val="right" w:pos="9355"/>
      </w:tabs>
    </w:pPr>
  </w:style>
  <w:style w:type="paragraph" w:styleId="afb">
    <w:name w:val="List Paragraph"/>
    <w:basedOn w:val="a"/>
    <w:qFormat/>
    <w:rsid w:val="00B96B00"/>
    <w:pPr>
      <w:ind w:left="708"/>
    </w:pPr>
    <w:rPr>
      <w:rFonts w:eastAsia="Times New Roman"/>
      <w:sz w:val="20"/>
      <w:szCs w:val="20"/>
    </w:rPr>
  </w:style>
  <w:style w:type="paragraph" w:customStyle="1" w:styleId="Style13">
    <w:name w:val="Style13"/>
    <w:basedOn w:val="a"/>
    <w:uiPriority w:val="99"/>
    <w:qFormat/>
    <w:rsid w:val="00A03464"/>
    <w:pPr>
      <w:spacing w:line="499" w:lineRule="exact"/>
      <w:ind w:firstLine="2664"/>
    </w:pPr>
  </w:style>
  <w:style w:type="paragraph" w:customStyle="1" w:styleId="Style39">
    <w:name w:val="Style39"/>
    <w:basedOn w:val="a"/>
    <w:uiPriority w:val="99"/>
    <w:qFormat/>
    <w:rsid w:val="00A03464"/>
    <w:pPr>
      <w:spacing w:line="485" w:lineRule="exact"/>
      <w:jc w:val="both"/>
    </w:pPr>
  </w:style>
  <w:style w:type="paragraph" w:customStyle="1" w:styleId="Style42">
    <w:name w:val="Style42"/>
    <w:basedOn w:val="a"/>
    <w:uiPriority w:val="99"/>
    <w:qFormat/>
    <w:rsid w:val="00A03464"/>
    <w:pPr>
      <w:spacing w:line="487" w:lineRule="exact"/>
      <w:ind w:firstLine="710"/>
      <w:jc w:val="both"/>
    </w:pPr>
  </w:style>
  <w:style w:type="paragraph" w:customStyle="1" w:styleId="Style46">
    <w:name w:val="Style46"/>
    <w:basedOn w:val="a"/>
    <w:uiPriority w:val="99"/>
    <w:qFormat/>
    <w:rsid w:val="00A03464"/>
    <w:pPr>
      <w:spacing w:line="482" w:lineRule="exact"/>
      <w:ind w:firstLine="629"/>
      <w:jc w:val="both"/>
    </w:pPr>
  </w:style>
  <w:style w:type="paragraph" w:customStyle="1" w:styleId="Style26">
    <w:name w:val="Style26"/>
    <w:basedOn w:val="a"/>
    <w:uiPriority w:val="99"/>
    <w:qFormat/>
    <w:rsid w:val="00336AF2"/>
    <w:pPr>
      <w:spacing w:line="482" w:lineRule="exact"/>
      <w:ind w:hanging="346"/>
    </w:pPr>
    <w:rPr>
      <w:rFonts w:eastAsia="Times New Roman"/>
    </w:rPr>
  </w:style>
  <w:style w:type="paragraph" w:customStyle="1" w:styleId="Style41">
    <w:name w:val="Style41"/>
    <w:basedOn w:val="a"/>
    <w:qFormat/>
    <w:rsid w:val="00336AF2"/>
    <w:pPr>
      <w:spacing w:line="394" w:lineRule="exact"/>
      <w:ind w:hanging="355"/>
    </w:pPr>
    <w:rPr>
      <w:rFonts w:eastAsia="Times New Roman"/>
    </w:rPr>
  </w:style>
  <w:style w:type="paragraph" w:customStyle="1" w:styleId="Style48">
    <w:name w:val="Style48"/>
    <w:basedOn w:val="a"/>
    <w:qFormat/>
    <w:rsid w:val="00336AF2"/>
    <w:pPr>
      <w:spacing w:line="480" w:lineRule="exact"/>
      <w:ind w:hanging="355"/>
    </w:pPr>
    <w:rPr>
      <w:rFonts w:eastAsia="Times New Roman"/>
    </w:rPr>
  </w:style>
  <w:style w:type="paragraph" w:styleId="afc">
    <w:name w:val="TOC Heading"/>
    <w:basedOn w:val="1"/>
    <w:next w:val="a"/>
    <w:uiPriority w:val="39"/>
    <w:unhideWhenUsed/>
    <w:qFormat/>
    <w:rsid w:val="00086F3B"/>
    <w:pPr>
      <w:widowControl/>
      <w:spacing w:line="259" w:lineRule="auto"/>
    </w:pPr>
  </w:style>
  <w:style w:type="paragraph" w:styleId="13">
    <w:name w:val="toc 1"/>
    <w:basedOn w:val="a"/>
    <w:next w:val="a"/>
    <w:autoRedefine/>
    <w:uiPriority w:val="39"/>
    <w:unhideWhenUsed/>
    <w:rsid w:val="00F52192"/>
    <w:pPr>
      <w:tabs>
        <w:tab w:val="right" w:leader="dot" w:pos="9345"/>
      </w:tabs>
      <w:spacing w:after="100"/>
    </w:pPr>
    <w:rPr>
      <w:rFonts w:eastAsia="Calibri"/>
      <w:bCs/>
      <w:color w:val="FF0000"/>
      <w:kern w:val="2"/>
    </w:rPr>
  </w:style>
  <w:style w:type="paragraph" w:styleId="23">
    <w:name w:val="toc 2"/>
    <w:basedOn w:val="a"/>
    <w:next w:val="a"/>
    <w:autoRedefine/>
    <w:uiPriority w:val="39"/>
    <w:unhideWhenUsed/>
    <w:rsid w:val="00086F3B"/>
    <w:pPr>
      <w:spacing w:after="100"/>
      <w:ind w:left="240"/>
    </w:pPr>
  </w:style>
  <w:style w:type="paragraph" w:styleId="afd">
    <w:name w:val="Balloon Text"/>
    <w:basedOn w:val="a"/>
    <w:uiPriority w:val="99"/>
    <w:semiHidden/>
    <w:unhideWhenUsed/>
    <w:qFormat/>
    <w:rsid w:val="00106B1E"/>
    <w:rPr>
      <w:rFonts w:ascii="Segoe UI" w:hAnsi="Segoe UI" w:cs="Segoe UI"/>
      <w:sz w:val="18"/>
      <w:szCs w:val="18"/>
    </w:rPr>
  </w:style>
  <w:style w:type="paragraph" w:styleId="ae">
    <w:name w:val="footnote text"/>
    <w:basedOn w:val="a"/>
    <w:link w:val="11"/>
    <w:uiPriority w:val="99"/>
    <w:rsid w:val="00BE19FB"/>
    <w:rPr>
      <w:rFonts w:eastAsia="Times New Roman"/>
      <w:sz w:val="20"/>
      <w:szCs w:val="20"/>
    </w:rPr>
  </w:style>
  <w:style w:type="paragraph" w:styleId="afe">
    <w:name w:val="Normal (Web)"/>
    <w:basedOn w:val="a"/>
    <w:uiPriority w:val="99"/>
    <w:semiHidden/>
    <w:unhideWhenUsed/>
    <w:qFormat/>
    <w:rsid w:val="00734E5E"/>
    <w:pPr>
      <w:widowControl/>
      <w:spacing w:beforeAutospacing="1" w:afterAutospacing="1"/>
    </w:pPr>
    <w:rPr>
      <w:rFonts w:eastAsia="Times New Roman"/>
    </w:rPr>
  </w:style>
  <w:style w:type="paragraph" w:styleId="31">
    <w:name w:val="toc 3"/>
    <w:basedOn w:val="a"/>
    <w:next w:val="a"/>
    <w:autoRedefine/>
    <w:uiPriority w:val="39"/>
    <w:unhideWhenUsed/>
    <w:rsid w:val="00734E5E"/>
    <w:pPr>
      <w:widowControl/>
      <w:spacing w:after="100" w:line="276" w:lineRule="auto"/>
      <w:ind w:left="4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f">
    <w:name w:val="annotation text"/>
    <w:basedOn w:val="a"/>
    <w:uiPriority w:val="99"/>
    <w:semiHidden/>
    <w:unhideWhenUsed/>
    <w:qFormat/>
    <w:rsid w:val="00734E5E"/>
    <w:pPr>
      <w:widowControl/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aff0">
    <w:name w:val="annotation subject"/>
    <w:basedOn w:val="aff"/>
    <w:next w:val="aff"/>
    <w:uiPriority w:val="99"/>
    <w:semiHidden/>
    <w:unhideWhenUsed/>
    <w:qFormat/>
    <w:rsid w:val="00734E5E"/>
    <w:rPr>
      <w:b/>
      <w:bCs/>
    </w:rPr>
  </w:style>
  <w:style w:type="paragraph" w:styleId="aff1">
    <w:name w:val="No Spacing"/>
    <w:uiPriority w:val="1"/>
    <w:qFormat/>
    <w:rsid w:val="00D97EC9"/>
    <w:pPr>
      <w:widowContro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4">
    <w:name w:val="Начало нумерованного списка 2"/>
    <w:basedOn w:val="af5"/>
    <w:next w:val="2"/>
    <w:qFormat/>
    <w:rsid w:val="001668FA"/>
    <w:pPr>
      <w:spacing w:after="140"/>
      <w:ind w:left="0" w:firstLine="0"/>
      <w:jc w:val="both"/>
    </w:pPr>
    <w:rPr>
      <w:rFonts w:ascii="PT Astra Serif" w:eastAsia="Source Han Sans CN Regular" w:hAnsi="PT Astra Serif" w:cs="Lohit Devanagari"/>
      <w:kern w:val="2"/>
      <w:sz w:val="28"/>
      <w:lang w:bidi="ru-RU"/>
    </w:rPr>
  </w:style>
  <w:style w:type="paragraph" w:styleId="2">
    <w:name w:val="List Number 2"/>
    <w:basedOn w:val="a"/>
    <w:uiPriority w:val="99"/>
    <w:semiHidden/>
    <w:unhideWhenUsed/>
    <w:qFormat/>
    <w:rsid w:val="001668FA"/>
    <w:pPr>
      <w:numPr>
        <w:numId w:val="12"/>
      </w:numPr>
      <w:contextualSpacing/>
    </w:pPr>
  </w:style>
  <w:style w:type="paragraph" w:styleId="4">
    <w:name w:val="toc 4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660"/>
    </w:pPr>
    <w:rPr>
      <w:rFonts w:asciiTheme="minorHAnsi" w:hAnsiTheme="minorHAnsi" w:cstheme="minorBidi"/>
      <w:sz w:val="22"/>
      <w:szCs w:val="22"/>
    </w:rPr>
  </w:style>
  <w:style w:type="paragraph" w:styleId="5">
    <w:name w:val="toc 5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880"/>
    </w:pPr>
    <w:rPr>
      <w:rFonts w:asciiTheme="minorHAnsi" w:hAnsiTheme="minorHAnsi" w:cstheme="minorBidi"/>
      <w:sz w:val="22"/>
      <w:szCs w:val="22"/>
    </w:rPr>
  </w:style>
  <w:style w:type="paragraph" w:styleId="6">
    <w:name w:val="toc 6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100"/>
    </w:pPr>
    <w:rPr>
      <w:rFonts w:asciiTheme="minorHAnsi" w:hAnsiTheme="minorHAnsi" w:cstheme="minorBidi"/>
      <w:sz w:val="22"/>
      <w:szCs w:val="22"/>
    </w:rPr>
  </w:style>
  <w:style w:type="paragraph" w:styleId="7">
    <w:name w:val="toc 7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320"/>
    </w:pPr>
    <w:rPr>
      <w:rFonts w:asciiTheme="minorHAnsi" w:hAnsiTheme="minorHAnsi" w:cstheme="minorBidi"/>
      <w:sz w:val="22"/>
      <w:szCs w:val="22"/>
    </w:rPr>
  </w:style>
  <w:style w:type="paragraph" w:styleId="8">
    <w:name w:val="toc 8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540"/>
    </w:pPr>
    <w:rPr>
      <w:rFonts w:asciiTheme="minorHAnsi" w:hAnsiTheme="minorHAnsi" w:cstheme="minorBidi"/>
      <w:sz w:val="22"/>
      <w:szCs w:val="22"/>
    </w:rPr>
  </w:style>
  <w:style w:type="paragraph" w:styleId="9">
    <w:name w:val="toc 9"/>
    <w:basedOn w:val="a"/>
    <w:next w:val="a"/>
    <w:autoRedefine/>
    <w:uiPriority w:val="39"/>
    <w:unhideWhenUsed/>
    <w:rsid w:val="000F423D"/>
    <w:pPr>
      <w:widowControl/>
      <w:spacing w:after="100" w:line="259" w:lineRule="auto"/>
      <w:ind w:left="1760"/>
    </w:pPr>
    <w:rPr>
      <w:rFonts w:asciiTheme="minorHAnsi" w:hAnsiTheme="minorHAnsi" w:cstheme="minorBidi"/>
      <w:sz w:val="22"/>
      <w:szCs w:val="22"/>
    </w:rPr>
  </w:style>
  <w:style w:type="table" w:styleId="aff2">
    <w:name w:val="Table Grid"/>
    <w:basedOn w:val="a1"/>
    <w:uiPriority w:val="39"/>
    <w:rsid w:val="00E461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"/>
    <w:basedOn w:val="a1"/>
    <w:uiPriority w:val="39"/>
    <w:rsid w:val="0069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3">
    <w:name w:val="Hyperlink"/>
    <w:basedOn w:val="a0"/>
    <w:uiPriority w:val="99"/>
    <w:unhideWhenUsed/>
    <w:rsid w:val="00E82DC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wmf"/><Relationship Id="rId26" Type="http://schemas.openxmlformats.org/officeDocument/2006/relationships/header" Target="header2.xml"/><Relationship Id="rId39" Type="http://schemas.openxmlformats.org/officeDocument/2006/relationships/hyperlink" Target="http://www.cbr.ru/banking_sector/otchetnost-kreditnykh-organizaciy/transparent/" TargetMode="External"/><Relationship Id="rId21" Type="http://schemas.openxmlformats.org/officeDocument/2006/relationships/image" Target="media/image11.png"/><Relationship Id="rId34" Type="http://schemas.openxmlformats.org/officeDocument/2006/relationships/hyperlink" Target="https://book.ru/book/944146" TargetMode="External"/><Relationship Id="rId42" Type="http://schemas.openxmlformats.org/officeDocument/2006/relationships/hyperlink" Target="https://analizbankov.ru/bank.php" TargetMode="External"/><Relationship Id="rId47" Type="http://schemas.openxmlformats.org/officeDocument/2006/relationships/hyperlink" Target="https://cloud.yandex.ru/docs/datalens/" TargetMode="External"/><Relationship Id="rId50" Type="http://schemas.openxmlformats.org/officeDocument/2006/relationships/hyperlink" Target="http://www.znanium.com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footer" Target="footer3.xml"/><Relationship Id="rId11" Type="http://schemas.openxmlformats.org/officeDocument/2006/relationships/image" Target="media/image2.png"/><Relationship Id="rId24" Type="http://schemas.openxmlformats.org/officeDocument/2006/relationships/image" Target="media/image14.wmf"/><Relationship Id="rId32" Type="http://schemas.openxmlformats.org/officeDocument/2006/relationships/hyperlink" Target="https://book.ru/book/935994" TargetMode="External"/><Relationship Id="rId37" Type="http://schemas.openxmlformats.org/officeDocument/2006/relationships/hyperlink" Target="https://book.ru/book/940280" TargetMode="External"/><Relationship Id="rId40" Type="http://schemas.openxmlformats.org/officeDocument/2006/relationships/hyperlink" Target="https://kad.arbitr.ru/" TargetMode="External"/><Relationship Id="rId45" Type="http://schemas.openxmlformats.org/officeDocument/2006/relationships/hyperlink" Target="https://ru.yougile.com/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19" Type="http://schemas.openxmlformats.org/officeDocument/2006/relationships/image" Target="media/image9.wmf"/><Relationship Id="rId31" Type="http://schemas.openxmlformats.org/officeDocument/2006/relationships/footer" Target="footer4.xml"/><Relationship Id="rId44" Type="http://schemas.openxmlformats.org/officeDocument/2006/relationships/hyperlink" Target="https://www.microsoft.com/ru-RU/download/details.aspx?id=58494" TargetMode="External"/><Relationship Id="rId52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2.wmf"/><Relationship Id="rId27" Type="http://schemas.openxmlformats.org/officeDocument/2006/relationships/footer" Target="footer2.xml"/><Relationship Id="rId30" Type="http://schemas.openxmlformats.org/officeDocument/2006/relationships/header" Target="header4.xml"/><Relationship Id="rId35" Type="http://schemas.openxmlformats.org/officeDocument/2006/relationships/hyperlink" Target="https://znanium.com/catalog/product/1872744" TargetMode="External"/><Relationship Id="rId43" Type="http://schemas.openxmlformats.org/officeDocument/2006/relationships/hyperlink" Target="https://www.microsoft.com/ru-RU/download/details.aspx?id=58494" TargetMode="External"/><Relationship Id="rId48" Type="http://schemas.openxmlformats.org/officeDocument/2006/relationships/hyperlink" Target="https://cloud.yandex.ru/docs/datalens/" TargetMode="External"/><Relationship Id="rId8" Type="http://schemas.openxmlformats.org/officeDocument/2006/relationships/header" Target="header1.xml"/><Relationship Id="rId51" Type="http://schemas.openxmlformats.org/officeDocument/2006/relationships/header" Target="header5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yperlink" Target="http://www.e-disclosure.ru/portal/company.aspx?id=202" TargetMode="External"/><Relationship Id="rId25" Type="http://schemas.openxmlformats.org/officeDocument/2006/relationships/image" Target="media/image15.png"/><Relationship Id="rId33" Type="http://schemas.openxmlformats.org/officeDocument/2006/relationships/hyperlink" Target="https://znanium.com/catalog/product/1067793" TargetMode="External"/><Relationship Id="rId38" Type="http://schemas.openxmlformats.org/officeDocument/2006/relationships/hyperlink" Target="http://www.cbr.ru/banking_sector/otchetnost-kreditnykh-organizaciy/transparent/" TargetMode="External"/><Relationship Id="rId46" Type="http://schemas.openxmlformats.org/officeDocument/2006/relationships/hyperlink" Target="https://ru.yougile.com/" TargetMode="External"/><Relationship Id="rId20" Type="http://schemas.openxmlformats.org/officeDocument/2006/relationships/image" Target="media/image10.wmf"/><Relationship Id="rId41" Type="http://schemas.openxmlformats.org/officeDocument/2006/relationships/hyperlink" Target="https://analizbankov.ru/bank.php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wmf"/><Relationship Id="rId28" Type="http://schemas.openxmlformats.org/officeDocument/2006/relationships/header" Target="header3.xml"/><Relationship Id="rId36" Type="http://schemas.openxmlformats.org/officeDocument/2006/relationships/hyperlink" Target="https://znanium.com/catalog/product/1659834" TargetMode="External"/><Relationship Id="rId49" Type="http://schemas.openxmlformats.org/officeDocument/2006/relationships/hyperlink" Target="https://e-disclosure.ru/?attempt=1" TargetMode="Externa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microsoft.com/ru-RU/download/details.aspx?id=58494" TargetMode="External"/><Relationship Id="rId2" Type="http://schemas.openxmlformats.org/officeDocument/2006/relationships/hyperlink" Target="https://cloud.yandex.ru/services/datalens" TargetMode="External"/><Relationship Id="rId1" Type="http://schemas.openxmlformats.org/officeDocument/2006/relationships/hyperlink" Target="http://www.cbr.ru/banking_sector/otchetnost-kreditnykh-organizaciy/transparent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40684-C4ED-49D1-AD7A-35A25B7BA0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66</Pages>
  <Words>14515</Words>
  <Characters>82742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</Company>
  <LinksUpToDate>false</LinksUpToDate>
  <CharactersWithSpaces>97063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Чичуленков Денис Андреевич</dc:creator>
  <dc:description/>
  <cp:lastModifiedBy>Борисова Екатерина Владимировна</cp:lastModifiedBy>
  <cp:revision>8</cp:revision>
  <cp:lastPrinted>2022-12-02T15:11:00Z</cp:lastPrinted>
  <dcterms:created xsi:type="dcterms:W3CDTF">2022-12-22T13:21:00Z</dcterms:created>
  <dcterms:modified xsi:type="dcterms:W3CDTF">2024-07-09T11:00:00Z</dcterms:modified>
  <dc:language>ru-RU</dc:language>
</cp:coreProperties>
</file>